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3775F3"/>
    <w:p w14:paraId="31FD44F1">
      <w:pPr>
        <w:spacing w:line="540" w:lineRule="exact"/>
        <w:jc w:val="center"/>
        <w:rPr>
          <w:rFonts w:eastAsia="华文中宋"/>
          <w:b/>
          <w:kern w:val="0"/>
          <w:sz w:val="52"/>
          <w:szCs w:val="52"/>
        </w:rPr>
      </w:pPr>
    </w:p>
    <w:p w14:paraId="06ECA0CB">
      <w:pPr>
        <w:spacing w:line="540" w:lineRule="exact"/>
        <w:rPr>
          <w:rFonts w:eastAsia="华文中宋"/>
          <w:b/>
          <w:kern w:val="0"/>
          <w:sz w:val="52"/>
          <w:szCs w:val="52"/>
        </w:rPr>
      </w:pPr>
    </w:p>
    <w:p w14:paraId="46C392CB">
      <w:pPr>
        <w:spacing w:line="540" w:lineRule="exact"/>
        <w:jc w:val="center"/>
        <w:rPr>
          <w:rFonts w:eastAsia="华文中宋"/>
          <w:b/>
          <w:kern w:val="0"/>
          <w:sz w:val="52"/>
          <w:szCs w:val="52"/>
        </w:rPr>
      </w:pPr>
    </w:p>
    <w:p w14:paraId="76A7EDD6">
      <w:pPr>
        <w:spacing w:line="540" w:lineRule="exact"/>
        <w:jc w:val="center"/>
        <w:rPr>
          <w:rFonts w:hint="eastAsia" w:ascii="方正小标宋_GBK" w:hAnsi="方正小标宋_GBK" w:eastAsia="方正小标宋_GBK" w:cs="方正小标宋_GBK"/>
          <w:kern w:val="0"/>
          <w:sz w:val="48"/>
          <w:szCs w:val="48"/>
          <w:highlight w:val="none"/>
        </w:rPr>
      </w:pPr>
      <w:r>
        <w:rPr>
          <w:rFonts w:hint="eastAsia" w:ascii="方正小标宋_GBK" w:hAnsi="方正小标宋_GBK" w:eastAsia="方正小标宋_GBK" w:cs="方正小标宋_GBK"/>
          <w:kern w:val="0"/>
          <w:sz w:val="48"/>
          <w:szCs w:val="48"/>
          <w:highlight w:val="none"/>
          <w:lang w:val="en-US" w:eastAsia="zh-CN"/>
        </w:rPr>
        <w:t>乌鲁木齐市第五十中学公用经费</w:t>
      </w:r>
      <w:r>
        <w:rPr>
          <w:rFonts w:hint="eastAsia" w:ascii="方正小标宋_GBK" w:hAnsi="方正小标宋_GBK" w:eastAsia="方正小标宋_GBK" w:cs="方正小标宋_GBK"/>
          <w:kern w:val="0"/>
          <w:sz w:val="48"/>
          <w:szCs w:val="48"/>
          <w:highlight w:val="none"/>
        </w:rPr>
        <w:t>项目支出绩效评价报告</w:t>
      </w:r>
    </w:p>
    <w:p w14:paraId="049F46C3">
      <w:pPr>
        <w:spacing w:line="540" w:lineRule="exact"/>
        <w:jc w:val="center"/>
        <w:rPr>
          <w:rFonts w:eastAsia="华文中宋"/>
          <w:b/>
          <w:kern w:val="0"/>
          <w:sz w:val="52"/>
          <w:szCs w:val="52"/>
          <w:highlight w:val="none"/>
        </w:rPr>
      </w:pPr>
    </w:p>
    <w:p w14:paraId="63205E01">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4</w:t>
      </w:r>
      <w:r>
        <w:rPr>
          <w:rFonts w:eastAsia="仿宋_GB2312"/>
          <w:kern w:val="0"/>
          <w:sz w:val="36"/>
          <w:szCs w:val="36"/>
        </w:rPr>
        <w:t>年度）</w:t>
      </w:r>
    </w:p>
    <w:p w14:paraId="1FA09809">
      <w:pPr>
        <w:spacing w:line="540" w:lineRule="exact"/>
        <w:jc w:val="center"/>
        <w:rPr>
          <w:rFonts w:eastAsia="仿宋_GB2312"/>
          <w:kern w:val="0"/>
          <w:sz w:val="30"/>
          <w:szCs w:val="30"/>
        </w:rPr>
      </w:pPr>
    </w:p>
    <w:p w14:paraId="01CA31AD">
      <w:pPr>
        <w:spacing w:line="540" w:lineRule="exact"/>
        <w:jc w:val="center"/>
        <w:rPr>
          <w:rFonts w:eastAsia="仿宋_GB2312"/>
          <w:kern w:val="0"/>
          <w:sz w:val="30"/>
          <w:szCs w:val="30"/>
        </w:rPr>
      </w:pPr>
    </w:p>
    <w:p w14:paraId="2D6A21D2">
      <w:pPr>
        <w:spacing w:line="540" w:lineRule="exact"/>
        <w:jc w:val="center"/>
        <w:rPr>
          <w:rFonts w:eastAsia="仿宋_GB2312"/>
          <w:kern w:val="0"/>
          <w:sz w:val="30"/>
          <w:szCs w:val="30"/>
        </w:rPr>
      </w:pPr>
    </w:p>
    <w:p w14:paraId="365FEE53">
      <w:pPr>
        <w:spacing w:line="540" w:lineRule="exact"/>
        <w:rPr>
          <w:rFonts w:eastAsia="仿宋_GB2312"/>
          <w:kern w:val="0"/>
          <w:sz w:val="30"/>
          <w:szCs w:val="30"/>
        </w:rPr>
      </w:pPr>
    </w:p>
    <w:p w14:paraId="04847B31">
      <w:pPr>
        <w:pStyle w:val="2"/>
      </w:pPr>
    </w:p>
    <w:p w14:paraId="74844A1D">
      <w:pPr>
        <w:pStyle w:val="2"/>
        <w:rPr>
          <w:rFonts w:eastAsia="仿宋_GB2312"/>
          <w:kern w:val="0"/>
          <w:sz w:val="30"/>
          <w:szCs w:val="30"/>
        </w:rPr>
      </w:pPr>
    </w:p>
    <w:p w14:paraId="18BAF460"/>
    <w:p w14:paraId="46D4F2D4"/>
    <w:p w14:paraId="1BFF07CE">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eastAsia="仿宋_GB2312"/>
          <w:kern w:val="0"/>
          <w:sz w:val="36"/>
          <w:szCs w:val="36"/>
        </w:rPr>
      </w:pPr>
      <w:r>
        <w:rPr>
          <w:rFonts w:eastAsia="仿宋_GB2312"/>
          <w:kern w:val="0"/>
          <w:sz w:val="36"/>
          <w:szCs w:val="36"/>
        </w:rPr>
        <w:t>项目名称：</w:t>
      </w:r>
      <w:r>
        <w:rPr>
          <w:rFonts w:hint="eastAsia" w:eastAsia="仿宋_GB2312"/>
          <w:kern w:val="0"/>
          <w:sz w:val="36"/>
          <w:szCs w:val="36"/>
        </w:rPr>
        <w:t>乌财科教[2023]167号</w:t>
      </w:r>
      <w:r>
        <w:rPr>
          <w:rFonts w:hint="eastAsia" w:eastAsia="仿宋_GB2312"/>
          <w:kern w:val="0"/>
          <w:sz w:val="36"/>
          <w:szCs w:val="36"/>
          <w:lang w:val="en-US" w:eastAsia="zh-CN"/>
        </w:rPr>
        <w:t>-</w:t>
      </w:r>
      <w:r>
        <w:rPr>
          <w:rFonts w:hint="eastAsia" w:eastAsia="仿宋_GB2312"/>
          <w:kern w:val="0"/>
          <w:sz w:val="36"/>
          <w:szCs w:val="36"/>
        </w:rPr>
        <w:t>公用经费</w:t>
      </w:r>
    </w:p>
    <w:p w14:paraId="1745E395">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乌鲁木齐市第五十中学</w:t>
      </w:r>
    </w:p>
    <w:p w14:paraId="18BAA558">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侯旭辉</w:t>
      </w:r>
    </w:p>
    <w:p w14:paraId="5FFD0DBE">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2025</w:t>
      </w:r>
      <w:r>
        <w:rPr>
          <w:rFonts w:eastAsia="仿宋_GB2312"/>
          <w:kern w:val="0"/>
          <w:sz w:val="36"/>
          <w:szCs w:val="36"/>
        </w:rPr>
        <w:t>年</w:t>
      </w:r>
      <w:r>
        <w:rPr>
          <w:rFonts w:hint="eastAsia" w:eastAsia="仿宋_GB2312"/>
          <w:kern w:val="0"/>
          <w:sz w:val="36"/>
          <w:szCs w:val="36"/>
          <w:lang w:val="en-US" w:eastAsia="zh-CN"/>
        </w:rPr>
        <w:t>4</w:t>
      </w:r>
      <w:r>
        <w:rPr>
          <w:rFonts w:eastAsia="仿宋_GB2312"/>
          <w:kern w:val="0"/>
          <w:sz w:val="36"/>
          <w:szCs w:val="36"/>
        </w:rPr>
        <w:t>月</w:t>
      </w:r>
      <w:r>
        <w:rPr>
          <w:rFonts w:hint="eastAsia" w:eastAsia="仿宋_GB2312"/>
          <w:kern w:val="0"/>
          <w:sz w:val="36"/>
          <w:szCs w:val="36"/>
          <w:lang w:val="en-US" w:eastAsia="zh-CN"/>
        </w:rPr>
        <w:t>17</w:t>
      </w:r>
      <w:r>
        <w:rPr>
          <w:rFonts w:eastAsia="仿宋_GB2312"/>
          <w:kern w:val="0"/>
          <w:sz w:val="36"/>
          <w:szCs w:val="36"/>
        </w:rPr>
        <w:t>日</w:t>
      </w:r>
    </w:p>
    <w:p w14:paraId="5A95D8FA">
      <w:pPr>
        <w:spacing w:line="560" w:lineRule="exact"/>
        <w:rPr>
          <w:rFonts w:eastAsia="黑体"/>
          <w:bCs/>
          <w:sz w:val="32"/>
          <w:szCs w:val="32"/>
        </w:rPr>
        <w:sectPr>
          <w:footerReference r:id="rId3" w:type="default"/>
          <w:pgSz w:w="11906" w:h="16838"/>
          <w:pgMar w:top="1440" w:right="1558" w:bottom="1440" w:left="1800" w:header="851" w:footer="992" w:gutter="0"/>
          <w:pgNumType w:start="1"/>
          <w:cols w:space="425" w:num="1"/>
          <w:docGrid w:type="lines" w:linePitch="312" w:charSpace="0"/>
        </w:sectPr>
      </w:pPr>
    </w:p>
    <w:p w14:paraId="287FA760">
      <w:pPr>
        <w:spacing w:line="560" w:lineRule="exact"/>
        <w:rPr>
          <w:rFonts w:eastAsia="黑体"/>
          <w:bCs/>
          <w:sz w:val="32"/>
          <w:szCs w:val="32"/>
        </w:rPr>
      </w:pPr>
      <w:r>
        <w:rPr>
          <w:rFonts w:eastAsia="黑体"/>
          <w:bCs/>
          <w:sz w:val="32"/>
          <w:szCs w:val="32"/>
        </w:rPr>
        <w:t>一、基本情况</w:t>
      </w:r>
    </w:p>
    <w:p w14:paraId="62C99A27">
      <w:pPr>
        <w:spacing w:line="560" w:lineRule="exact"/>
        <w:ind w:firstLine="643" w:firstLineChars="200"/>
        <w:rPr>
          <w:rFonts w:eastAsia="楷体_GB2312"/>
          <w:b/>
          <w:bCs/>
          <w:sz w:val="32"/>
          <w:szCs w:val="32"/>
        </w:rPr>
      </w:pPr>
      <w:r>
        <w:rPr>
          <w:rFonts w:eastAsia="楷体_GB2312"/>
          <w:b/>
          <w:bCs/>
          <w:sz w:val="32"/>
          <w:szCs w:val="32"/>
        </w:rPr>
        <w:t>（一）项目概况</w:t>
      </w:r>
    </w:p>
    <w:p w14:paraId="5A6F8D7E">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项目背景</w:t>
      </w:r>
    </w:p>
    <w:p w14:paraId="6962F492">
      <w:pPr>
        <w:spacing w:line="560" w:lineRule="exact"/>
        <w:ind w:firstLine="640" w:firstLineChars="200"/>
        <w:rPr>
          <w:rFonts w:hint="eastAsia" w:eastAsia="仿宋_GB2312"/>
          <w:sz w:val="32"/>
          <w:szCs w:val="32"/>
          <w:lang w:val="en-US" w:eastAsia="zh-CN"/>
        </w:rPr>
      </w:pPr>
      <w:r>
        <w:rPr>
          <w:rFonts w:eastAsia="仿宋_GB2312"/>
          <w:sz w:val="32"/>
          <w:szCs w:val="32"/>
          <w:lang w:val="en-US" w:eastAsia="zh-CN"/>
        </w:rPr>
        <w:t>依据《自治区关于统筹推进县域内</w:t>
      </w:r>
      <w:r>
        <w:rPr>
          <w:rFonts w:hint="eastAsia" w:eastAsia="仿宋_GB2312"/>
          <w:sz w:val="32"/>
          <w:szCs w:val="32"/>
          <w:lang w:val="en-US" w:eastAsia="zh-CN"/>
        </w:rPr>
        <w:t>城乡义务教育一体化改革发展的实施意见》的通知》（新政发〔</w:t>
      </w:r>
      <w:r>
        <w:rPr>
          <w:rFonts w:hint="default" w:eastAsia="仿宋_GB2312"/>
          <w:sz w:val="32"/>
          <w:szCs w:val="32"/>
          <w:lang w:val="en-US" w:eastAsia="zh-CN"/>
        </w:rPr>
        <w:t>2018</w:t>
      </w:r>
      <w:r>
        <w:rPr>
          <w:rFonts w:hint="eastAsia" w:eastAsia="仿宋_GB2312"/>
          <w:sz w:val="32"/>
          <w:szCs w:val="32"/>
          <w:lang w:val="en-US" w:eastAsia="zh-CN"/>
        </w:rPr>
        <w:t>〕</w:t>
      </w:r>
      <w:r>
        <w:rPr>
          <w:rFonts w:hint="default" w:eastAsia="仿宋_GB2312"/>
          <w:sz w:val="32"/>
          <w:szCs w:val="32"/>
          <w:lang w:val="en-US" w:eastAsia="zh-CN"/>
        </w:rPr>
        <w:t xml:space="preserve">48 </w:t>
      </w:r>
      <w:r>
        <w:rPr>
          <w:rFonts w:hint="eastAsia" w:eastAsia="仿宋_GB2312"/>
          <w:sz w:val="32"/>
          <w:szCs w:val="32"/>
          <w:lang w:val="en-US" w:eastAsia="zh-CN"/>
        </w:rPr>
        <w:t>号）、《关于印发新疆维吾尔自治区进一步完善城乡义务教育经费保障机制实施方案的通知》（新政发〔</w:t>
      </w:r>
      <w:r>
        <w:rPr>
          <w:rFonts w:hint="default" w:eastAsia="仿宋_GB2312"/>
          <w:sz w:val="32"/>
          <w:szCs w:val="32"/>
          <w:lang w:val="en-US" w:eastAsia="zh-CN"/>
        </w:rPr>
        <w:t>2016</w:t>
      </w:r>
      <w:r>
        <w:rPr>
          <w:rFonts w:hint="eastAsia" w:eastAsia="仿宋_GB2312"/>
          <w:sz w:val="32"/>
          <w:szCs w:val="32"/>
          <w:lang w:val="en-US" w:eastAsia="zh-CN"/>
        </w:rPr>
        <w:t>〕</w:t>
      </w:r>
      <w:r>
        <w:rPr>
          <w:rFonts w:hint="default" w:eastAsia="仿宋_GB2312"/>
          <w:sz w:val="32"/>
          <w:szCs w:val="32"/>
          <w:lang w:val="en-US" w:eastAsia="zh-CN"/>
        </w:rPr>
        <w:t xml:space="preserve">102 </w:t>
      </w:r>
      <w:r>
        <w:rPr>
          <w:rFonts w:hint="eastAsia" w:eastAsia="仿宋_GB2312"/>
          <w:sz w:val="32"/>
          <w:szCs w:val="32"/>
          <w:lang w:val="en-US" w:eastAsia="zh-CN"/>
        </w:rPr>
        <w:t>号）等相关文件的要求，弥补教育资源不足、提高教学积极性、促进教育公平。</w:t>
      </w:r>
    </w:p>
    <w:p w14:paraId="279215DB">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项目主要内容</w:t>
      </w:r>
      <w:r>
        <w:rPr>
          <w:rFonts w:hint="eastAsia" w:ascii="仿宋_GB2312" w:hAnsi="仿宋_GB2312" w:eastAsia="仿宋_GB2312" w:cs="仿宋_GB2312"/>
          <w:b/>
          <w:bCs/>
          <w:sz w:val="32"/>
          <w:szCs w:val="32"/>
          <w:lang w:val="en-US" w:eastAsia="zh-CN"/>
        </w:rPr>
        <w:t>及实施情况</w:t>
      </w:r>
    </w:p>
    <w:p w14:paraId="2CBA5DDE">
      <w:pPr>
        <w:spacing w:line="560" w:lineRule="exact"/>
        <w:ind w:firstLine="640" w:firstLineChars="200"/>
        <w:rPr>
          <w:rFonts w:hint="eastAsia" w:eastAsia="仿宋_GB2312"/>
          <w:sz w:val="32"/>
          <w:szCs w:val="32"/>
          <w:lang w:val="en-US" w:eastAsia="zh-CN"/>
        </w:rPr>
      </w:pPr>
      <w:r>
        <w:rPr>
          <w:rFonts w:hint="eastAsia" w:ascii="仿宋_GB2312" w:hAnsi="仿宋_GB2312" w:eastAsia="仿宋_GB2312" w:cs="仿宋_GB2312"/>
          <w:sz w:val="32"/>
          <w:szCs w:val="32"/>
        </w:rPr>
        <w:t>项目主要内容：</w:t>
      </w:r>
      <w:r>
        <w:rPr>
          <w:rFonts w:hint="eastAsia" w:eastAsia="仿宋_GB2312"/>
          <w:sz w:val="32"/>
          <w:szCs w:val="32"/>
          <w:lang w:val="en-US" w:eastAsia="zh-CN"/>
        </w:rPr>
        <w:t>根据乌财科教[2023]167号关于提前下达2024年城乡义务教育补助经费预算[中央直达资金]的通知（公用经费-初中)、（公用经费-小学)、（公用经费-特教）文件，三个项目资金共196.98万元，其中67.5万元用于零星维修校舍；60万元用于购置教学设备；68万元用于教师培训。从而保障学校正常运行，完成教育教学活动和其他日常工作任务等支出。具体支出包括：用于学校教学业务与管理、教学竞赛、教学质量提升及第三方评价的政府购买服务、办公、会议、印刷、教师培训、实验实习、文体活动、水电、取暖、交通差旅、邮电、教育信息化网络费用、仪器设备及图书资料等购置、学生课桌凳、床铺、食堂设施设备的零星补充购置及维修维护，房屋、建筑物、校园内道路、围墙、大门、运动场地、教室内教师讲台及仪器设备的日常维修维护，学校勤工俭学购买生产设备和工具、校园绿化美化、校园文化建设、学生健康体检、校方责任保险、初中学历水平考试报名、公务接待费，非财政供养人员经费等。</w:t>
      </w:r>
    </w:p>
    <w:p w14:paraId="1C064E3D">
      <w:pPr>
        <w:spacing w:line="560" w:lineRule="exact"/>
        <w:ind w:firstLine="640" w:firstLineChars="200"/>
      </w:pPr>
      <w:r>
        <w:rPr>
          <w:rFonts w:eastAsia="仿宋_GB2312"/>
          <w:sz w:val="32"/>
          <w:szCs w:val="32"/>
        </w:rPr>
        <w:t>项目实施情况：</w:t>
      </w:r>
      <w:r>
        <w:rPr>
          <w:rFonts w:hint="eastAsia" w:ascii="仿宋_GB2312" w:hAnsi="仿宋_GB2312" w:eastAsia="仿宋_GB2312" w:cs="仿宋_GB2312"/>
          <w:sz w:val="32"/>
          <w:szCs w:val="32"/>
          <w:highlight w:val="none"/>
        </w:rPr>
        <w:t>该项目年初预算数</w:t>
      </w:r>
      <w:r>
        <w:rPr>
          <w:rFonts w:hint="eastAsia" w:ascii="仿宋_GB2312" w:hAnsi="仿宋_GB2312" w:eastAsia="仿宋_GB2312" w:cs="仿宋_GB2312"/>
          <w:sz w:val="32"/>
          <w:szCs w:val="32"/>
          <w:highlight w:val="none"/>
          <w:lang w:val="en-US" w:eastAsia="zh-CN"/>
        </w:rPr>
        <w:t>196.98</w:t>
      </w:r>
      <w:r>
        <w:rPr>
          <w:rFonts w:hint="eastAsia" w:ascii="仿宋_GB2312" w:hAnsi="仿宋_GB2312" w:eastAsia="仿宋_GB2312" w:cs="仿宋_GB2312"/>
          <w:sz w:val="32"/>
          <w:szCs w:val="32"/>
          <w:highlight w:val="none"/>
        </w:rPr>
        <w:t>万元，全年预算数</w:t>
      </w:r>
      <w:r>
        <w:rPr>
          <w:rFonts w:hint="eastAsia" w:ascii="仿宋_GB2312" w:hAnsi="仿宋_GB2312" w:eastAsia="仿宋_GB2312" w:cs="仿宋_GB2312"/>
          <w:sz w:val="32"/>
          <w:szCs w:val="32"/>
          <w:highlight w:val="none"/>
          <w:lang w:val="en-US" w:eastAsia="zh-CN"/>
        </w:rPr>
        <w:t>196.98</w:t>
      </w:r>
      <w:r>
        <w:rPr>
          <w:rFonts w:hint="eastAsia" w:ascii="仿宋_GB2312" w:hAnsi="仿宋_GB2312" w:eastAsia="仿宋_GB2312" w:cs="仿宋_GB2312"/>
          <w:sz w:val="32"/>
          <w:szCs w:val="32"/>
          <w:highlight w:val="none"/>
        </w:rPr>
        <w:t>万元，全年执行数</w:t>
      </w:r>
      <w:r>
        <w:rPr>
          <w:rFonts w:hint="eastAsia" w:ascii="仿宋_GB2312" w:hAnsi="仿宋_GB2312" w:eastAsia="仿宋_GB2312" w:cs="仿宋_GB2312"/>
          <w:sz w:val="32"/>
          <w:szCs w:val="32"/>
          <w:highlight w:val="none"/>
          <w:lang w:val="en-US" w:eastAsia="zh-CN"/>
        </w:rPr>
        <w:t>196.98</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eastAsia="仿宋_GB2312"/>
          <w:sz w:val="32"/>
          <w:szCs w:val="32"/>
        </w:rPr>
        <w:t>项目目前已经完成实际设立的目标，项目在实施过程中严格按照目标设立的各阶段任务进行开展工作，在前期立项过程中严格把质量关，建立安全防护机制，保证项目实施各阶段安全顺利进行。</w:t>
      </w:r>
    </w:p>
    <w:p w14:paraId="56F5A89F">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资金投入和使用情况</w:t>
      </w:r>
    </w:p>
    <w:p w14:paraId="4C2FE86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14:paraId="3713BB59">
      <w:pPr>
        <w:keepNext w:val="0"/>
        <w:keepLines w:val="0"/>
        <w:widowControl/>
        <w:suppressLineNumbers w:val="0"/>
        <w:ind w:firstLine="640" w:firstLineChars="200"/>
        <w:jc w:val="left"/>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该项目</w:t>
      </w:r>
      <w:r>
        <w:rPr>
          <w:rFonts w:hint="eastAsia" w:ascii="仿宋_GB2312" w:hAnsi="仿宋_GB2312" w:eastAsia="仿宋_GB2312" w:cs="仿宋_GB2312"/>
          <w:sz w:val="32"/>
          <w:szCs w:val="32"/>
          <w:lang w:val="en-US" w:eastAsia="zh-CN"/>
        </w:rPr>
        <w:t>资金来源为年初部门预算，</w:t>
      </w:r>
      <w:r>
        <w:rPr>
          <w:rFonts w:hint="eastAsia" w:ascii="仿宋_GB2312" w:hAnsi="仿宋_GB2312" w:eastAsia="仿宋_GB2312" w:cs="仿宋_GB2312"/>
          <w:sz w:val="32"/>
          <w:szCs w:val="32"/>
        </w:rPr>
        <w:t>年初预算</w:t>
      </w:r>
      <w:r>
        <w:rPr>
          <w:rFonts w:hint="eastAsia" w:ascii="仿宋_GB2312" w:hAnsi="仿宋_GB2312" w:eastAsia="仿宋_GB2312" w:cs="仿宋_GB2312"/>
          <w:sz w:val="32"/>
          <w:szCs w:val="32"/>
          <w:highlight w:val="none"/>
        </w:rPr>
        <w:t>数</w:t>
      </w:r>
      <w:r>
        <w:rPr>
          <w:rFonts w:hint="eastAsia" w:ascii="仿宋_GB2312" w:hAnsi="仿宋_GB2312" w:eastAsia="仿宋_GB2312" w:cs="仿宋_GB2312"/>
          <w:sz w:val="32"/>
          <w:szCs w:val="32"/>
          <w:highlight w:val="none"/>
          <w:lang w:val="en-US" w:eastAsia="zh-CN"/>
        </w:rPr>
        <w:t>196.98</w:t>
      </w:r>
      <w:r>
        <w:rPr>
          <w:rFonts w:hint="eastAsia" w:ascii="仿宋_GB2312" w:hAnsi="仿宋_GB2312" w:eastAsia="仿宋_GB2312" w:cs="仿宋_GB2312"/>
          <w:sz w:val="32"/>
          <w:szCs w:val="32"/>
          <w:highlight w:val="none"/>
        </w:rPr>
        <w:t>万元，全年预算数</w:t>
      </w:r>
      <w:r>
        <w:rPr>
          <w:rFonts w:hint="eastAsia" w:ascii="仿宋_GB2312" w:hAnsi="仿宋_GB2312" w:eastAsia="仿宋_GB2312" w:cs="仿宋_GB2312"/>
          <w:sz w:val="32"/>
          <w:szCs w:val="32"/>
          <w:highlight w:val="none"/>
          <w:lang w:val="en-US" w:eastAsia="zh-CN"/>
        </w:rPr>
        <w:t>196.98</w:t>
      </w:r>
      <w:r>
        <w:rPr>
          <w:rFonts w:hint="eastAsia" w:ascii="仿宋_GB2312" w:hAnsi="仿宋_GB2312" w:eastAsia="仿宋_GB2312" w:cs="仿宋_GB2312"/>
          <w:sz w:val="32"/>
          <w:szCs w:val="32"/>
          <w:highlight w:val="none"/>
        </w:rPr>
        <w:t>万元，实际总投入</w:t>
      </w:r>
      <w:r>
        <w:rPr>
          <w:rFonts w:hint="eastAsia" w:ascii="仿宋_GB2312" w:hAnsi="仿宋_GB2312" w:eastAsia="仿宋_GB2312" w:cs="仿宋_GB2312"/>
          <w:sz w:val="32"/>
          <w:szCs w:val="32"/>
          <w:highlight w:val="none"/>
          <w:lang w:val="en-US" w:eastAsia="zh-CN"/>
        </w:rPr>
        <w:t>196.98</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年中未追加减，</w:t>
      </w:r>
      <w:r>
        <w:rPr>
          <w:rFonts w:hint="eastAsia" w:ascii="仿宋_GB2312" w:hAnsi="仿宋_GB2312" w:eastAsia="仿宋_GB2312" w:cs="仿宋_GB2312"/>
          <w:sz w:val="32"/>
          <w:szCs w:val="32"/>
          <w:highlight w:val="none"/>
        </w:rPr>
        <w:t>该项目资金已全部落实到位，资金来源为上级一般转移支付。</w:t>
      </w:r>
    </w:p>
    <w:p w14:paraId="375A5C13">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（2）资金使用情况</w:t>
      </w:r>
    </w:p>
    <w:p w14:paraId="45C33A2C">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rPr>
        <w:t>该项目年初预算数</w:t>
      </w:r>
      <w:r>
        <w:rPr>
          <w:rFonts w:hint="eastAsia" w:ascii="仿宋_GB2312" w:hAnsi="仿宋_GB2312" w:eastAsia="仿宋_GB2312" w:cs="仿宋_GB2312"/>
          <w:sz w:val="32"/>
          <w:szCs w:val="32"/>
          <w:highlight w:val="none"/>
          <w:lang w:val="en-US" w:eastAsia="zh-CN"/>
        </w:rPr>
        <w:t>196.98</w:t>
      </w:r>
      <w:r>
        <w:rPr>
          <w:rFonts w:hint="eastAsia" w:ascii="仿宋_GB2312" w:hAnsi="仿宋_GB2312" w:eastAsia="仿宋_GB2312" w:cs="仿宋_GB2312"/>
          <w:sz w:val="32"/>
          <w:szCs w:val="32"/>
          <w:highlight w:val="none"/>
        </w:rPr>
        <w:t>万元，全年预算数</w:t>
      </w:r>
      <w:r>
        <w:rPr>
          <w:rFonts w:hint="eastAsia" w:ascii="仿宋_GB2312" w:hAnsi="仿宋_GB2312" w:eastAsia="仿宋_GB2312" w:cs="仿宋_GB2312"/>
          <w:sz w:val="32"/>
          <w:szCs w:val="32"/>
          <w:highlight w:val="none"/>
          <w:lang w:val="en-US" w:eastAsia="zh-CN"/>
        </w:rPr>
        <w:t>196.98</w:t>
      </w:r>
      <w:r>
        <w:rPr>
          <w:rFonts w:hint="eastAsia" w:ascii="仿宋_GB2312" w:hAnsi="仿宋_GB2312" w:eastAsia="仿宋_GB2312" w:cs="仿宋_GB2312"/>
          <w:sz w:val="32"/>
          <w:szCs w:val="32"/>
          <w:highlight w:val="none"/>
        </w:rPr>
        <w:t>万元，全年执行数</w:t>
      </w:r>
      <w:r>
        <w:rPr>
          <w:rFonts w:hint="eastAsia" w:ascii="仿宋_GB2312" w:hAnsi="仿宋_GB2312" w:eastAsia="仿宋_GB2312" w:cs="仿宋_GB2312"/>
          <w:sz w:val="32"/>
          <w:szCs w:val="32"/>
          <w:highlight w:val="none"/>
          <w:lang w:val="en-US" w:eastAsia="zh-CN"/>
        </w:rPr>
        <w:t>196.98</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%，主要用</w:t>
      </w:r>
      <w:r>
        <w:rPr>
          <w:rFonts w:hint="eastAsia" w:ascii="仿宋_GB2312" w:hAnsi="仿宋_GB2312" w:eastAsia="仿宋_GB2312" w:cs="仿宋_GB2312"/>
          <w:sz w:val="32"/>
          <w:szCs w:val="32"/>
        </w:rPr>
        <w:t>于：</w:t>
      </w:r>
      <w:r>
        <w:rPr>
          <w:rFonts w:hint="default" w:ascii="仿宋_GB2312" w:hAnsi="仿宋_GB2312" w:eastAsia="仿宋_GB2312" w:cs="仿宋_GB2312"/>
          <w:sz w:val="32"/>
          <w:szCs w:val="32"/>
          <w:lang w:val="en-US" w:eastAsia="zh-CN"/>
        </w:rPr>
        <w:t>购置各类教育教学</w:t>
      </w:r>
      <w:r>
        <w:rPr>
          <w:rFonts w:hint="eastAsia" w:ascii="仿宋_GB2312" w:hAnsi="仿宋_GB2312" w:eastAsia="仿宋_GB2312" w:cs="仿宋_GB2312"/>
          <w:sz w:val="32"/>
          <w:szCs w:val="32"/>
          <w:lang w:val="en-US" w:eastAsia="zh-CN"/>
        </w:rPr>
        <w:t>用品、教师培训、学校校舍日常维修。</w:t>
      </w:r>
    </w:p>
    <w:p w14:paraId="239034C6">
      <w:pPr>
        <w:spacing w:line="560" w:lineRule="exact"/>
        <w:ind w:firstLine="643" w:firstLineChars="200"/>
        <w:rPr>
          <w:rFonts w:eastAsia="楷体_GB2312"/>
          <w:b/>
          <w:bCs/>
          <w:sz w:val="32"/>
          <w:szCs w:val="32"/>
        </w:rPr>
      </w:pPr>
      <w:r>
        <w:rPr>
          <w:rFonts w:eastAsia="楷体_GB2312"/>
          <w:b/>
          <w:bCs/>
          <w:sz w:val="32"/>
          <w:szCs w:val="32"/>
        </w:rPr>
        <w:t>（二）项目绩效目标</w:t>
      </w:r>
    </w:p>
    <w:p w14:paraId="35E1B57B">
      <w:pPr>
        <w:spacing w:line="560" w:lineRule="exact"/>
        <w:ind w:firstLine="643" w:firstLineChars="200"/>
        <w:rPr>
          <w:rFonts w:eastAsia="仿宋_GB2312"/>
          <w:sz w:val="32"/>
          <w:szCs w:val="32"/>
        </w:rPr>
      </w:pPr>
      <w:r>
        <w:rPr>
          <w:rFonts w:hint="eastAsia" w:ascii="仿宋_GB2312" w:hAnsi="仿宋_GB2312" w:eastAsia="仿宋_GB2312" w:cs="仿宋_GB2312"/>
          <w:b/>
          <w:bCs/>
          <w:kern w:val="0"/>
          <w:sz w:val="32"/>
          <w:szCs w:val="32"/>
          <w:lang w:val="en-US" w:eastAsia="zh-CN" w:bidi="ar-SA"/>
        </w:rPr>
        <w:t>1.总体目标</w:t>
      </w:r>
    </w:p>
    <w:p w14:paraId="4CAA3F6A">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用以保障义务教育阶段学校正常运转、教育教学活动和其他日常工作正常开展的相关支出，用于弥补公用经费的不足，及时组织协调解决问题，密切跟进项目落实情况，确保项目有组织、有计划、有步骤地推进。进一步提升校园硬件设施力度，补齐学校环境硬件短板，大大提高学生学习的积极性，提高老师的教学水平，优化课堂互动环境，形成师生有效互动，为学生打造良好教学环境，努力提升师生的幸福感。。</w:t>
      </w:r>
    </w:p>
    <w:p w14:paraId="4DC8BCF2">
      <w:pPr>
        <w:spacing w:line="560" w:lineRule="exact"/>
        <w:ind w:firstLine="643" w:firstLineChars="200"/>
        <w:rPr>
          <w:rFonts w:ascii="仿宋_GB2312" w:hAnsi="仿宋_GB2312" w:eastAsia="仿宋_GB2312" w:cs="仿宋_GB2312"/>
          <w:b w:val="0"/>
          <w:bCs w:val="0"/>
          <w:color w:val="FF0000"/>
          <w:sz w:val="30"/>
          <w:szCs w:val="30"/>
        </w:rPr>
      </w:pPr>
      <w:r>
        <w:rPr>
          <w:rFonts w:hint="eastAsia" w:ascii="仿宋_GB2312" w:hAnsi="仿宋_GB2312" w:eastAsia="仿宋_GB2312" w:cs="仿宋_GB2312"/>
          <w:b/>
          <w:bCs/>
          <w:kern w:val="0"/>
          <w:sz w:val="32"/>
          <w:szCs w:val="32"/>
          <w:lang w:val="en-US" w:eastAsia="zh-CN" w:bidi="ar-SA"/>
        </w:rPr>
        <w:t>2.阶段性目标</w:t>
      </w:r>
    </w:p>
    <w:p w14:paraId="3A57E385">
      <w:pP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该项目资金半年度计划用于零星维修校舍9次，花费2</w:t>
      </w:r>
      <w:r>
        <w:rPr>
          <w:rFonts w:hint="eastAsia" w:eastAsia="仿宋_GB2312"/>
          <w:sz w:val="32"/>
          <w:szCs w:val="32"/>
          <w:lang w:val="en-US" w:eastAsia="zh-CN"/>
        </w:rPr>
        <w:t>5</w:t>
      </w:r>
      <w:r>
        <w:rPr>
          <w:rFonts w:hint="eastAsia" w:ascii="仿宋_GB2312" w:hAnsi="仿宋_GB2312" w:eastAsia="仿宋_GB2312" w:cs="仿宋_GB2312"/>
          <w:sz w:val="32"/>
          <w:szCs w:val="32"/>
          <w:lang w:val="en-US" w:eastAsia="zh-CN"/>
        </w:rPr>
        <w:t>万元，购置教学设备30类，每次购买不超过1</w:t>
      </w:r>
      <w:r>
        <w:rPr>
          <w:rFonts w:hint="eastAsia" w:eastAsia="仿宋_GB2312"/>
          <w:sz w:val="32"/>
          <w:szCs w:val="32"/>
          <w:lang w:val="en-US" w:eastAsia="zh-CN"/>
        </w:rPr>
        <w:t>5</w:t>
      </w:r>
      <w:r>
        <w:rPr>
          <w:rFonts w:hint="eastAsia" w:ascii="仿宋_GB2312" w:hAnsi="仿宋_GB2312" w:eastAsia="仿宋_GB2312" w:cs="仿宋_GB2312"/>
          <w:sz w:val="32"/>
          <w:szCs w:val="32"/>
          <w:lang w:val="en-US" w:eastAsia="zh-CN"/>
        </w:rPr>
        <w:t>000元，花费4</w:t>
      </w:r>
      <w:r>
        <w:rPr>
          <w:rFonts w:hint="eastAsia" w:eastAsia="仿宋_GB2312"/>
          <w:sz w:val="32"/>
          <w:szCs w:val="32"/>
          <w:lang w:val="en-US" w:eastAsia="zh-CN"/>
        </w:rPr>
        <w:t>5</w:t>
      </w:r>
      <w:r>
        <w:rPr>
          <w:rFonts w:hint="eastAsia" w:ascii="仿宋_GB2312" w:hAnsi="仿宋_GB2312" w:eastAsia="仿宋_GB2312" w:cs="仿宋_GB2312"/>
          <w:sz w:val="32"/>
          <w:szCs w:val="32"/>
          <w:lang w:val="en-US" w:eastAsia="zh-CN"/>
        </w:rPr>
        <w:t>万元，计划今年安排40人次外出培训，每人每次培训费不高于8000元，共计花费32万元。</w:t>
      </w:r>
    </w:p>
    <w:p w14:paraId="36984F8C">
      <w:pPr>
        <w:spacing w:line="560" w:lineRule="exact"/>
        <w:ind w:firstLine="640" w:firstLineChars="200"/>
        <w:rPr>
          <w:rFonts w:hint="eastAsia" w:eastAsia="黑体"/>
          <w:sz w:val="32"/>
          <w:szCs w:val="32"/>
          <w:lang w:val="en-US" w:eastAsia="zh-CN"/>
        </w:rPr>
      </w:pPr>
      <w:r>
        <w:rPr>
          <w:rFonts w:hint="eastAsia" w:eastAsia="黑体"/>
          <w:sz w:val="32"/>
          <w:szCs w:val="32"/>
          <w:lang w:val="en-US" w:eastAsia="zh-CN"/>
        </w:rPr>
        <w:t>,</w:t>
      </w:r>
      <w:r>
        <w:rPr>
          <w:rFonts w:eastAsia="黑体"/>
          <w:sz w:val="32"/>
          <w:szCs w:val="32"/>
        </w:rPr>
        <w:t>二、绩效评价工作开展情况</w:t>
      </w:r>
    </w:p>
    <w:p w14:paraId="160D9809">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6190592C">
      <w:pPr>
        <w:pStyle w:val="19"/>
        <w:spacing w:line="560" w:lineRule="exact"/>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绩效评价的目的</w:t>
      </w:r>
    </w:p>
    <w:p w14:paraId="569013EF">
      <w:pPr>
        <w:spacing w:line="560" w:lineRule="exact"/>
        <w:ind w:firstLine="640" w:firstLineChars="200"/>
        <w:rPr>
          <w:rFonts w:hint="eastAsia" w:eastAsia="仿宋_GB2312"/>
          <w:sz w:val="32"/>
          <w:szCs w:val="32"/>
          <w:lang w:val="en-US" w:eastAsia="zh-CN"/>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684A9261">
      <w:pPr>
        <w:numPr>
          <w:ilvl w:val="0"/>
          <w:numId w:val="1"/>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1A4C42D7">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180B4BD2">
      <w:pPr>
        <w:pStyle w:val="19"/>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9824879">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绩效评价的对象</w:t>
      </w:r>
    </w:p>
    <w:p w14:paraId="17BBDC4A">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乌财科教[2023]1</w:t>
      </w:r>
      <w:r>
        <w:rPr>
          <w:rFonts w:hint="eastAsia" w:ascii="仿宋_GB2312" w:hAnsi="仿宋_GB2312" w:eastAsia="仿宋_GB2312" w:cs="仿宋_GB2312"/>
          <w:sz w:val="32"/>
          <w:szCs w:val="32"/>
          <w:lang w:val="en-US" w:eastAsia="zh-CN"/>
        </w:rPr>
        <w:t>6</w:t>
      </w:r>
      <w:r>
        <w:rPr>
          <w:rFonts w:hint="eastAsia" w:eastAsia="仿宋_GB2312"/>
          <w:sz w:val="32"/>
          <w:szCs w:val="32"/>
          <w:lang w:val="en-US" w:eastAsia="zh-CN"/>
        </w:rPr>
        <w:t>7</w:t>
      </w:r>
      <w:r>
        <w:rPr>
          <w:rFonts w:hint="eastAsia" w:ascii="仿宋_GB2312" w:hAnsi="仿宋_GB2312" w:eastAsia="仿宋_GB2312" w:cs="仿宋_GB2312"/>
          <w:sz w:val="32"/>
          <w:szCs w:val="32"/>
        </w:rPr>
        <w:t>号关于提前下达2024年城乡义务教育补助经费预算[中央直达资金]的通知（公用经费-初中)、（公用经费-小学)、（公用经费-特教）所包含的全部项目内容。</w:t>
      </w:r>
    </w:p>
    <w:p w14:paraId="67B6F6EA">
      <w:pPr>
        <w:pStyle w:val="19"/>
        <w:spacing w:line="560" w:lineRule="exact"/>
        <w:ind w:firstLine="64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绩效评价的范围</w:t>
      </w:r>
    </w:p>
    <w:p w14:paraId="7850FC9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本次评价从项目决策（包括绩效目标、决策过程）、项目管理（包括项目资金、项目实施）、项目产出（包括项目产出数量、产出质量、产出时效和产出成本）项目效益四个维度对乌财科教[2023]16</w:t>
      </w:r>
      <w:r>
        <w:rPr>
          <w:rFonts w:hint="eastAsia" w:eastAsia="仿宋_GB2312"/>
          <w:sz w:val="32"/>
          <w:szCs w:val="32"/>
          <w:lang w:val="en-US" w:eastAsia="zh-CN"/>
        </w:rPr>
        <w:t>7</w:t>
      </w:r>
      <w:r>
        <w:rPr>
          <w:rFonts w:hint="eastAsia" w:ascii="仿宋_GB2312" w:hAnsi="仿宋_GB2312" w:eastAsia="仿宋_GB2312" w:cs="仿宋_GB2312"/>
          <w:sz w:val="32"/>
          <w:szCs w:val="32"/>
        </w:rPr>
        <w:t>号关于提前下达2024年城乡义务教育补助经费预算[中央直达资金]的通知（公用经费-初中)、（公用经费-小学)、（公用经费-特教）</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rPr>
        <w:t>进行评价，评价核心为专项资金的支出完成情况和效果。</w:t>
      </w:r>
    </w:p>
    <w:p w14:paraId="6EC1323E">
      <w:pPr>
        <w:spacing w:line="560" w:lineRule="exact"/>
        <w:ind w:firstLine="643" w:firstLineChars="200"/>
      </w:pPr>
      <w:r>
        <w:rPr>
          <w:rFonts w:eastAsia="楷体_GB2312"/>
          <w:b/>
          <w:bCs/>
          <w:sz w:val="32"/>
          <w:szCs w:val="32"/>
        </w:rPr>
        <w:t>（二）绩效评价原则、评价指标体系（详情见</w:t>
      </w:r>
      <w:r>
        <w:rPr>
          <w:rFonts w:hint="eastAsia" w:eastAsia="楷体_GB2312"/>
          <w:b/>
          <w:bCs/>
          <w:sz w:val="32"/>
          <w:szCs w:val="32"/>
          <w:lang w:val="en-US" w:eastAsia="zh-CN"/>
        </w:rPr>
        <w:t>附件2</w:t>
      </w:r>
      <w:r>
        <w:rPr>
          <w:rFonts w:eastAsia="楷体_GB2312"/>
          <w:b/>
          <w:bCs/>
          <w:sz w:val="32"/>
          <w:szCs w:val="32"/>
        </w:rPr>
        <w:t>）、评价方法、评价标准</w:t>
      </w:r>
    </w:p>
    <w:p w14:paraId="7B134A78">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绩效评价原则</w:t>
      </w:r>
    </w:p>
    <w:p w14:paraId="11446235">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58544685">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75005B60">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1211151C">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0F0C6AC7">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333E63D2">
      <w:pP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评价指标体系</w:t>
      </w:r>
    </w:p>
    <w:p w14:paraId="59A828DD">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0DFF024F">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392B88CE">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7118C1D7">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0A4860E3">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w:t>
      </w:r>
      <w:r>
        <w:rPr>
          <w:rFonts w:hint="eastAsia" w:eastAsia="仿宋_GB2312"/>
          <w:color w:val="000000"/>
          <w:spacing w:val="17"/>
          <w:sz w:val="32"/>
          <w:szCs w:val="32"/>
          <w:lang w:val="en-US" w:eastAsia="zh-CN"/>
        </w:rPr>
        <w:t>30</w:t>
      </w:r>
      <w:r>
        <w:rPr>
          <w:rFonts w:eastAsia="仿宋_GB2312"/>
          <w:color w:val="000000"/>
          <w:spacing w:val="17"/>
          <w:sz w:val="32"/>
          <w:szCs w:val="32"/>
        </w:rPr>
        <w:t>分，项目效益权重为</w:t>
      </w:r>
      <w:r>
        <w:rPr>
          <w:rFonts w:hint="eastAsia" w:eastAsia="仿宋_GB2312"/>
          <w:color w:val="000000"/>
          <w:spacing w:val="17"/>
          <w:sz w:val="32"/>
          <w:szCs w:val="32"/>
          <w:lang w:val="en-US" w:eastAsia="zh-CN"/>
        </w:rPr>
        <w:t>30</w:t>
      </w:r>
      <w:r>
        <w:rPr>
          <w:rFonts w:eastAsia="仿宋_GB2312"/>
          <w:color w:val="000000"/>
          <w:spacing w:val="17"/>
          <w:sz w:val="32"/>
          <w:szCs w:val="32"/>
        </w:rPr>
        <w:t>分。</w:t>
      </w:r>
    </w:p>
    <w:p w14:paraId="1202244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5CCC436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04EE0C11">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3EDE761F">
      <w:pPr>
        <w:pStyle w:val="2"/>
        <w:widowControl w:val="0"/>
        <w:spacing w:before="0" w:after="0" w:line="560" w:lineRule="exact"/>
        <w:ind w:firstLine="708" w:firstLineChars="200"/>
        <w:jc w:val="both"/>
        <w:outlineLvl w:val="9"/>
        <w:rPr>
          <w:rFonts w:hint="default" w:ascii="Times New Roman" w:hAnsi="Times New Roman" w:eastAsia="仿宋_GB2312"/>
          <w:b w:val="0"/>
          <w:bCs w:val="0"/>
          <w:color w:val="000000"/>
          <w:spacing w:val="17"/>
          <w:lang w:val="en-US" w:eastAsia="zh-CN"/>
        </w:rPr>
      </w:pPr>
      <w:r>
        <w:rPr>
          <w:rFonts w:ascii="Times New Roman" w:hAnsi="Times New Roman" w:eastAsia="仿宋_GB2312"/>
          <w:b w:val="0"/>
          <w:bCs w:val="0"/>
          <w:color w:val="000000"/>
          <w:spacing w:val="17"/>
        </w:rPr>
        <w:t>具体评价指标体系详情见附件</w:t>
      </w:r>
      <w:r>
        <w:rPr>
          <w:rFonts w:hint="eastAsia" w:ascii="Times New Roman" w:hAnsi="Times New Roman" w:eastAsia="仿宋_GB2312"/>
          <w:b w:val="0"/>
          <w:bCs w:val="0"/>
          <w:color w:val="000000"/>
          <w:spacing w:val="17"/>
          <w:lang w:val="en-US" w:eastAsia="zh-CN"/>
        </w:rPr>
        <w:t>2。</w:t>
      </w:r>
    </w:p>
    <w:p w14:paraId="2042E901">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绩效评价方法</w:t>
      </w:r>
    </w:p>
    <w:p w14:paraId="18353D9F">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49366A4E">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w:t>
      </w:r>
      <w:r>
        <w:rPr>
          <w:rFonts w:eastAsia="仿宋_GB2312"/>
          <w:color w:val="000000"/>
          <w:spacing w:val="17"/>
          <w:sz w:val="32"/>
          <w:szCs w:val="32"/>
          <w:highlight w:val="none"/>
        </w:rPr>
        <w:t>下：</w:t>
      </w:r>
    </w:p>
    <w:p w14:paraId="15F6B4AE">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（1）比较法</w:t>
      </w:r>
    </w:p>
    <w:p w14:paraId="47C23B93">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通过对绩效目标与实施效果、历史与当期情况，综合分析绩效目标实现程度。对</w:t>
      </w:r>
      <w:r>
        <w:rPr>
          <w:rFonts w:eastAsia="仿宋_GB2312"/>
          <w:sz w:val="32"/>
          <w:szCs w:val="32"/>
          <w:highlight w:val="none"/>
        </w:rPr>
        <w:t>项目</w:t>
      </w:r>
      <w:r>
        <w:rPr>
          <w:rFonts w:eastAsia="仿宋_GB2312"/>
          <w:color w:val="000000"/>
          <w:spacing w:val="17"/>
          <w:sz w:val="32"/>
          <w:szCs w:val="32"/>
          <w:highlight w:val="none"/>
        </w:rPr>
        <w:t>最终验收情况与年度绩效目标对比、预算资金执行情况等相关因素进行比较。</w:t>
      </w:r>
    </w:p>
    <w:p w14:paraId="1D2FC9D3">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（2）因素分析法</w:t>
      </w:r>
    </w:p>
    <w:p w14:paraId="42256C0C">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通过综合分析影响绩效目标实现、实施效果的内外因素，评价绩效目标实现程度。通过对</w:t>
      </w:r>
      <w:r>
        <w:rPr>
          <w:rFonts w:eastAsia="仿宋_GB2312"/>
          <w:sz w:val="32"/>
          <w:szCs w:val="32"/>
          <w:highlight w:val="none"/>
        </w:rPr>
        <w:t>项目</w:t>
      </w:r>
      <w:r>
        <w:rPr>
          <w:rFonts w:eastAsia="仿宋_GB2312"/>
          <w:color w:val="000000"/>
          <w:spacing w:val="17"/>
          <w:sz w:val="32"/>
          <w:szCs w:val="32"/>
          <w:highlight w:val="none"/>
        </w:rPr>
        <w:t>的开展情况、项目产出数量、成本控制、资金拨付文件及自评报告等相关资料的收集和审核，综合分析各因素对绩效目标实现的影响。</w:t>
      </w:r>
    </w:p>
    <w:p w14:paraId="71828C84">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评价标准</w:t>
      </w:r>
    </w:p>
    <w:p w14:paraId="3E172D8B">
      <w:pPr>
        <w:spacing w:line="560" w:lineRule="exact"/>
        <w:ind w:firstLine="640"/>
        <w:rPr>
          <w:rFonts w:eastAsia="方正仿宋_GBK" w:cs="方正仿宋_GBK"/>
          <w:color w:val="FF0000"/>
          <w:sz w:val="32"/>
          <w:szCs w:val="32"/>
          <w:highlight w:val="none"/>
        </w:rPr>
      </w:pPr>
      <w:r>
        <w:rPr>
          <w:rFonts w:hint="eastAsia" w:eastAsia="方正仿宋_GBK" w:cs="方正仿宋_GBK"/>
          <w:sz w:val="32"/>
          <w:szCs w:val="32"/>
        </w:rPr>
        <w:t>绩效评价标准通常包括计划标准、行业标准、历史标准等，用于对绩效指标完成情况进行比较、分析、评价。</w:t>
      </w:r>
      <w:r>
        <w:rPr>
          <w:rFonts w:hint="eastAsia" w:eastAsia="方正仿宋_GBK" w:cs="方正仿宋_GBK"/>
          <w:sz w:val="32"/>
          <w:szCs w:val="32"/>
          <w:highlight w:val="none"/>
        </w:rPr>
        <w:t>本次评价主要采用了</w:t>
      </w:r>
      <w:r>
        <w:rPr>
          <w:rFonts w:hint="eastAsia" w:eastAsia="方正仿宋_GBK" w:cs="方正仿宋_GBK"/>
          <w:sz w:val="32"/>
          <w:szCs w:val="32"/>
          <w:highlight w:val="none"/>
          <w:lang w:eastAsia="zh-CN"/>
        </w:rPr>
        <w:t>计划</w:t>
      </w:r>
      <w:r>
        <w:rPr>
          <w:rFonts w:hint="eastAsia" w:eastAsia="方正仿宋_GBK" w:cs="方正仿宋_GBK"/>
          <w:sz w:val="32"/>
          <w:szCs w:val="32"/>
          <w:highlight w:val="none"/>
        </w:rPr>
        <w:t>标准。</w:t>
      </w:r>
    </w:p>
    <w:p w14:paraId="487408DC">
      <w:pPr>
        <w:spacing w:line="560" w:lineRule="exact"/>
        <w:ind w:firstLine="640"/>
        <w:rPr>
          <w:rFonts w:eastAsia="方正仿宋_GBK" w:cs="方正仿宋_GBK"/>
          <w:sz w:val="32"/>
          <w:szCs w:val="32"/>
          <w:highlight w:val="none"/>
        </w:rPr>
      </w:pPr>
      <w:bookmarkStart w:id="0" w:name="_Toc31464"/>
      <w:bookmarkStart w:id="1" w:name="_Toc17882"/>
      <w:r>
        <w:rPr>
          <w:rFonts w:hint="eastAsia" w:eastAsia="方正仿宋_GBK" w:cs="方正仿宋_GBK"/>
          <w:b/>
          <w:bCs/>
          <w:sz w:val="32"/>
          <w:szCs w:val="32"/>
          <w:highlight w:val="none"/>
        </w:rPr>
        <w:t>计划标准：</w:t>
      </w:r>
      <w:r>
        <w:rPr>
          <w:rFonts w:hint="eastAsia" w:eastAsia="方正仿宋_GBK" w:cs="方正仿宋_GBK"/>
          <w:sz w:val="32"/>
          <w:szCs w:val="32"/>
          <w:highlight w:val="none"/>
        </w:rPr>
        <w:t>指以预先制定的目标、计划、预算、定额等作为评价标准。</w:t>
      </w:r>
      <w:bookmarkEnd w:id="0"/>
      <w:bookmarkEnd w:id="1"/>
    </w:p>
    <w:p w14:paraId="754B0FB7">
      <w:pPr>
        <w:pStyle w:val="2"/>
        <w:numPr>
          <w:ilvl w:val="0"/>
          <w:numId w:val="2"/>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791B5B02">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1.前期准备。</w:t>
      </w:r>
      <w:r>
        <w:rPr>
          <w:rFonts w:hint="eastAsia" w:eastAsia="仿宋_GB2312"/>
          <w:bCs/>
          <w:sz w:val="32"/>
          <w:szCs w:val="32"/>
          <w:highlight w:val="none"/>
        </w:rPr>
        <w:t>首先成立评价工作组，</w:t>
      </w:r>
      <w:r>
        <w:rPr>
          <w:rFonts w:hint="eastAsia" w:eastAsia="仿宋_GB2312"/>
          <w:bCs/>
          <w:sz w:val="32"/>
          <w:szCs w:val="32"/>
        </w:rPr>
        <w:t>组长：侯旭辉</w:t>
      </w:r>
      <w:r>
        <w:rPr>
          <w:rFonts w:hint="eastAsia" w:eastAsia="仿宋_GB2312"/>
          <w:bCs/>
          <w:sz w:val="32"/>
          <w:szCs w:val="32"/>
          <w:lang w:eastAsia="zh-CN"/>
        </w:rPr>
        <w:t>，</w:t>
      </w:r>
      <w:r>
        <w:rPr>
          <w:rFonts w:hint="eastAsia" w:eastAsia="仿宋_GB2312"/>
          <w:bCs/>
          <w:sz w:val="32"/>
          <w:szCs w:val="32"/>
        </w:rPr>
        <w:t>组员：王青青、马丽媛</w:t>
      </w:r>
      <w:r>
        <w:rPr>
          <w:rFonts w:hint="eastAsia" w:eastAsia="仿宋_GB2312"/>
          <w:bCs/>
          <w:sz w:val="32"/>
          <w:szCs w:val="32"/>
          <w:lang w:eastAsia="zh-CN"/>
        </w:rPr>
        <w:t>，</w:t>
      </w:r>
      <w:r>
        <w:rPr>
          <w:rFonts w:hint="eastAsia" w:eastAsia="仿宋_GB2312"/>
          <w:bCs/>
          <w:sz w:val="32"/>
          <w:szCs w:val="32"/>
        </w:rPr>
        <w:t>制定合理化的、科学化、规范化的预算编制，开展前期调研；其次明确项目绩效目标，设计绩效评价指标体系并确定绩效评价方法；接着确定现场和非现场评价范围，设计资料清单；最后制定评价实施方案并进行论证。</w:t>
      </w:r>
    </w:p>
    <w:p w14:paraId="2F70DA91">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2.组织实施。</w:t>
      </w:r>
      <w:r>
        <w:rPr>
          <w:rFonts w:hint="eastAsia" w:eastAsia="仿宋_GB2312"/>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7EE1F0AA">
      <w:pPr>
        <w:spacing w:line="560" w:lineRule="exact"/>
        <w:ind w:firstLine="643" w:firstLineChars="200"/>
        <w:rPr>
          <w:sz w:val="32"/>
          <w:szCs w:val="32"/>
        </w:rPr>
      </w:pPr>
      <w:r>
        <w:rPr>
          <w:rFonts w:hint="eastAsia" w:ascii="仿宋_GB2312" w:hAnsi="仿宋_GB2312" w:eastAsia="仿宋_GB2312" w:cs="仿宋_GB2312"/>
          <w:b/>
          <w:bCs/>
          <w:sz w:val="32"/>
          <w:szCs w:val="32"/>
        </w:rPr>
        <w:t>3.分析评价。</w:t>
      </w:r>
      <w:r>
        <w:rPr>
          <w:rFonts w:hint="eastAsia" w:eastAsia="仿宋_GB2312"/>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0F51B825">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14:paraId="75710298">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7DD393B0">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57F66C79">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14:paraId="0EC63F57">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000000" w:themeColor="text1"/>
          <w:highlight w:val="none"/>
          <w14:textFill>
            <w14:solidFill>
              <w14:schemeClr w14:val="tx1"/>
            </w14:solidFill>
          </w14:textFill>
        </w:rPr>
        <w:t xml:space="preserve">总得分为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96.77</w:t>
      </w:r>
      <w:r>
        <w:rPr>
          <w:rFonts w:hint="eastAsia" w:ascii="Times New Roman" w:hAnsi="Times New Roman" w:eastAsia="仿宋_GB2312"/>
          <w:b w:val="0"/>
          <w:bCs w:val="0"/>
          <w:color w:val="000000" w:themeColor="text1"/>
          <w:highlight w:val="none"/>
          <w14:textFill>
            <w14:solidFill>
              <w14:schemeClr w14:val="tx1"/>
            </w14:solidFill>
          </w14:textFill>
        </w:rPr>
        <w:t>分，属于“优”</w:t>
      </w:r>
      <w:r>
        <w:rPr>
          <w:rFonts w:hint="eastAsia" w:ascii="Times New Roman" w:hAnsi="Times New Roman" w:eastAsia="仿宋_GB2312"/>
          <w:b w:val="0"/>
          <w:bCs w:val="0"/>
          <w:highlight w:val="none"/>
        </w:rPr>
        <w:t xml:space="preserve">。其中，项目决策类指标权重为20分，得分为 </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%。项目产出类指标权重为</w:t>
      </w:r>
      <w:r>
        <w:rPr>
          <w:rFonts w:hint="eastAsia" w:ascii="Times New Roman" w:hAnsi="Times New Roman" w:eastAsia="仿宋_GB2312"/>
          <w:b w:val="0"/>
          <w:bCs w:val="0"/>
          <w:highlight w:val="none"/>
          <w:lang w:val="en-US" w:eastAsia="zh-CN"/>
        </w:rPr>
        <w:t>30</w:t>
      </w:r>
      <w:r>
        <w:rPr>
          <w:rFonts w:hint="eastAsia"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26.77</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89.23</w:t>
      </w:r>
      <w:r>
        <w:rPr>
          <w:rFonts w:hint="eastAsia" w:ascii="Times New Roman" w:hAnsi="Times New Roman" w:eastAsia="仿宋_GB2312"/>
          <w:b w:val="0"/>
          <w:bCs w:val="0"/>
          <w:highlight w:val="none"/>
        </w:rPr>
        <w:t>%。项目效益类指标权重为</w:t>
      </w:r>
      <w:r>
        <w:rPr>
          <w:rFonts w:hint="eastAsia" w:ascii="Times New Roman" w:hAnsi="Times New Roman" w:eastAsia="仿宋_GB2312"/>
          <w:b w:val="0"/>
          <w:bCs w:val="0"/>
          <w:highlight w:val="none"/>
          <w:lang w:val="en-US" w:eastAsia="zh-CN"/>
        </w:rPr>
        <w:t>30</w:t>
      </w:r>
      <w:r>
        <w:rPr>
          <w:rFonts w:hint="eastAsia"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30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w:t>
      </w:r>
      <w:r>
        <w:rPr>
          <w:rFonts w:hint="eastAsia" w:ascii="Times New Roman" w:hAnsi="Times New Roman" w:eastAsia="仿宋_GB2312"/>
          <w:b w:val="0"/>
          <w:bCs w:val="0"/>
        </w:rPr>
        <w:t>具体打分情况详见：</w:t>
      </w:r>
      <w:r>
        <w:rPr>
          <w:rFonts w:hint="eastAsia" w:ascii="Times New Roman" w:hAnsi="Times New Roman" w:eastAsia="仿宋_GB2312"/>
          <w:b w:val="0"/>
          <w:bCs w:val="0"/>
          <w:lang w:val="en-US" w:eastAsia="zh-CN"/>
        </w:rPr>
        <w:t>表</w:t>
      </w:r>
      <w:r>
        <w:rPr>
          <w:rFonts w:hint="eastAsia" w:ascii="Times New Roman" w:hAnsi="Times New Roman" w:eastAsia="仿宋_GB2312"/>
          <w:b w:val="0"/>
          <w:bCs w:val="0"/>
        </w:rPr>
        <w:t>1</w:t>
      </w:r>
      <w:r>
        <w:rPr>
          <w:rFonts w:hint="eastAsia" w:ascii="Times New Roman" w:hAnsi="Times New Roman" w:eastAsia="仿宋_GB2312"/>
          <w:b w:val="0"/>
          <w:bCs w:val="0"/>
          <w:lang w:val="en-US" w:eastAsia="zh-CN"/>
        </w:rPr>
        <w:t>.</w:t>
      </w:r>
      <w:r>
        <w:rPr>
          <w:rFonts w:hint="eastAsia" w:ascii="Times New Roman" w:hAnsi="Times New Roman" w:eastAsia="仿宋_GB2312"/>
          <w:b w:val="0"/>
          <w:bCs w:val="0"/>
        </w:rPr>
        <w:t>综合评分表。</w:t>
      </w:r>
    </w:p>
    <w:p w14:paraId="76C9B408">
      <w:pPr>
        <w:pStyle w:val="2"/>
        <w:spacing w:before="0" w:after="0"/>
        <w:rPr>
          <w:rFonts w:ascii="Times New Roman" w:hAnsi="Times New Roman" w:eastAsia="仿宋_GB2312"/>
          <w:sz w:val="30"/>
          <w:szCs w:val="30"/>
        </w:rPr>
      </w:pPr>
      <w:r>
        <w:rPr>
          <w:rFonts w:ascii="Times New Roman" w:hAnsi="Times New Roman" w:eastAsia="仿宋_GB2312"/>
          <w:sz w:val="30"/>
          <w:szCs w:val="30"/>
        </w:rPr>
        <w:t>表1</w:t>
      </w:r>
      <w:r>
        <w:rPr>
          <w:rFonts w:hint="eastAsia" w:ascii="Times New Roman" w:hAnsi="Times New Roman" w:eastAsia="仿宋_GB2312"/>
          <w:sz w:val="30"/>
          <w:szCs w:val="30"/>
          <w:lang w:val="en-US" w:eastAsia="zh-CN"/>
        </w:rPr>
        <w:t>.</w:t>
      </w:r>
      <w:r>
        <w:rPr>
          <w:rFonts w:ascii="Times New Roman" w:hAnsi="Times New Roman" w:eastAsia="仿宋_GB2312"/>
          <w:sz w:val="30"/>
          <w:szCs w:val="30"/>
        </w:rPr>
        <w:t>综合评分表</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605F661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16948500">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31847E6E">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5254D0F5">
            <w:pPr>
              <w:jc w:val="center"/>
              <w:rPr>
                <w:b/>
                <w:bCs/>
                <w:color w:val="000000"/>
                <w:sz w:val="22"/>
              </w:rPr>
            </w:pPr>
            <w:r>
              <w:rPr>
                <w:rFonts w:hint="eastAsia"/>
                <w:b/>
                <w:bCs/>
                <w:color w:val="000000"/>
                <w:sz w:val="22"/>
              </w:rPr>
              <w:t>得分</w:t>
            </w:r>
          </w:p>
        </w:tc>
      </w:tr>
      <w:tr w14:paraId="024E0CC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18C7328">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91FE219">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26C1ED39">
            <w:pPr>
              <w:jc w:val="center"/>
              <w:rPr>
                <w:rFonts w:hint="default" w:eastAsia="宋体"/>
                <w:color w:val="000000"/>
                <w:sz w:val="22"/>
                <w:lang w:val="en-US" w:eastAsia="zh-CN"/>
              </w:rPr>
            </w:pPr>
            <w:r>
              <w:rPr>
                <w:rFonts w:hint="eastAsia"/>
                <w:color w:val="000000"/>
                <w:sz w:val="22"/>
                <w:lang w:val="en-US" w:eastAsia="zh-CN"/>
              </w:rPr>
              <w:t>20</w:t>
            </w:r>
          </w:p>
        </w:tc>
      </w:tr>
      <w:tr w14:paraId="47D449D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C6CE91B">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386609B2">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744BF534">
            <w:pPr>
              <w:jc w:val="center"/>
              <w:rPr>
                <w:rFonts w:hint="default" w:eastAsia="宋体"/>
                <w:color w:val="000000"/>
                <w:sz w:val="22"/>
                <w:lang w:val="en-US" w:eastAsia="zh-CN"/>
              </w:rPr>
            </w:pPr>
            <w:r>
              <w:rPr>
                <w:rFonts w:hint="eastAsia"/>
                <w:color w:val="000000"/>
                <w:sz w:val="22"/>
                <w:lang w:val="en-US" w:eastAsia="zh-CN"/>
              </w:rPr>
              <w:t>20</w:t>
            </w:r>
          </w:p>
        </w:tc>
      </w:tr>
      <w:tr w14:paraId="30AA66C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887AA05">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434AFD5E">
            <w:pPr>
              <w:jc w:val="center"/>
              <w:rPr>
                <w:rFonts w:hint="default" w:eastAsia="宋体"/>
                <w:color w:val="000000"/>
                <w:sz w:val="22"/>
                <w:lang w:val="en-US" w:eastAsia="zh-CN"/>
              </w:rPr>
            </w:pPr>
            <w:r>
              <w:rPr>
                <w:rFonts w:hint="eastAsia"/>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14:paraId="3C83DAF8">
            <w:pPr>
              <w:jc w:val="center"/>
              <w:rPr>
                <w:rFonts w:hint="default" w:eastAsia="宋体"/>
                <w:color w:val="000000"/>
                <w:sz w:val="22"/>
                <w:lang w:val="en-US" w:eastAsia="zh-CN"/>
              </w:rPr>
            </w:pPr>
            <w:r>
              <w:rPr>
                <w:rFonts w:hint="eastAsia"/>
                <w:color w:val="000000"/>
                <w:sz w:val="22"/>
                <w:highlight w:val="none"/>
                <w:lang w:val="en-US" w:eastAsia="zh-CN"/>
              </w:rPr>
              <w:t>26.77</w:t>
            </w:r>
          </w:p>
        </w:tc>
      </w:tr>
      <w:tr w14:paraId="79A947F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B979457">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7F50A685">
            <w:pPr>
              <w:jc w:val="center"/>
              <w:rPr>
                <w:rFonts w:hint="default" w:eastAsia="宋体"/>
                <w:color w:val="000000"/>
                <w:sz w:val="22"/>
                <w:lang w:val="en-US" w:eastAsia="zh-CN"/>
              </w:rPr>
            </w:pPr>
            <w:r>
              <w:rPr>
                <w:rFonts w:hint="eastAsia"/>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14:paraId="54166284">
            <w:pPr>
              <w:jc w:val="center"/>
              <w:rPr>
                <w:rFonts w:hint="default" w:eastAsia="宋体"/>
                <w:color w:val="000000"/>
                <w:sz w:val="22"/>
                <w:lang w:val="en-US" w:eastAsia="zh-CN"/>
              </w:rPr>
            </w:pPr>
            <w:r>
              <w:rPr>
                <w:rFonts w:hint="eastAsia"/>
                <w:color w:val="000000"/>
                <w:sz w:val="22"/>
                <w:lang w:val="en-US" w:eastAsia="zh-CN"/>
              </w:rPr>
              <w:t>30</w:t>
            </w:r>
          </w:p>
        </w:tc>
      </w:tr>
      <w:tr w14:paraId="7D644FE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72560D8">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2B625610">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36DF029B">
            <w:pPr>
              <w:jc w:val="center"/>
              <w:rPr>
                <w:rFonts w:hint="default" w:eastAsia="宋体"/>
                <w:b/>
                <w:bCs/>
                <w:color w:val="000000"/>
                <w:sz w:val="22"/>
                <w:lang w:val="en-US" w:eastAsia="zh-CN"/>
              </w:rPr>
            </w:pPr>
            <w:r>
              <w:rPr>
                <w:rFonts w:hint="eastAsia"/>
                <w:b/>
                <w:bCs/>
                <w:color w:val="000000"/>
                <w:sz w:val="22"/>
                <w:lang w:val="en-US" w:eastAsia="zh-CN"/>
              </w:rPr>
              <w:t>96.77</w:t>
            </w:r>
          </w:p>
        </w:tc>
      </w:tr>
    </w:tbl>
    <w:p w14:paraId="6A0F0153">
      <w:pPr>
        <w:spacing w:line="560" w:lineRule="exact"/>
        <w:ind w:firstLine="640" w:firstLineChars="200"/>
        <w:rPr>
          <w:rFonts w:eastAsia="黑体"/>
          <w:sz w:val="32"/>
          <w:szCs w:val="32"/>
        </w:rPr>
      </w:pPr>
      <w:r>
        <w:rPr>
          <w:rFonts w:eastAsia="黑体"/>
          <w:sz w:val="32"/>
          <w:szCs w:val="32"/>
        </w:rPr>
        <w:t>四、绩效评价指标分析</w:t>
      </w:r>
    </w:p>
    <w:p w14:paraId="5C7E92BF">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5617C086">
      <w:pPr>
        <w:spacing w:line="600" w:lineRule="exact"/>
        <w:ind w:firstLine="600" w:firstLineChars="200"/>
        <w:outlineLvl w:val="0"/>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rPr>
        <w:t>项目决策类指标包括项目立项、绩效目标和资金投入三方面的内容，由6个三级指标构成，权重分值为20分，</w:t>
      </w:r>
      <w:r>
        <w:rPr>
          <w:rFonts w:hint="eastAsia" w:ascii="仿宋_GB2312" w:hAnsi="仿宋_GB2312" w:eastAsia="仿宋_GB2312" w:cs="仿宋_GB2312"/>
          <w:sz w:val="30"/>
          <w:szCs w:val="30"/>
          <w:highlight w:val="none"/>
        </w:rPr>
        <w:t>实际得分</w:t>
      </w:r>
      <w:r>
        <w:rPr>
          <w:rFonts w:hint="eastAsia" w:ascii="仿宋_GB2312" w:hAnsi="仿宋_GB2312" w:eastAsia="仿宋_GB2312" w:cs="仿宋_GB2312"/>
          <w:sz w:val="30"/>
          <w:szCs w:val="30"/>
          <w:highlight w:val="none"/>
          <w:lang w:val="en-US" w:eastAsia="zh-CN"/>
        </w:rPr>
        <w:t>20</w:t>
      </w:r>
      <w:r>
        <w:rPr>
          <w:rFonts w:hint="eastAsia" w:ascii="仿宋_GB2312" w:hAnsi="仿宋_GB2312" w:eastAsia="仿宋_GB2312" w:cs="仿宋_GB2312"/>
          <w:sz w:val="30"/>
          <w:szCs w:val="30"/>
          <w:highlight w:val="none"/>
        </w:rPr>
        <w:t>分，得分率为</w:t>
      </w:r>
      <w:r>
        <w:rPr>
          <w:rFonts w:hint="eastAsia" w:ascii="仿宋_GB2312" w:hAnsi="仿宋_GB2312" w:eastAsia="仿宋_GB2312" w:cs="仿宋_GB2312"/>
          <w:sz w:val="30"/>
          <w:szCs w:val="30"/>
          <w:highlight w:val="none"/>
          <w:lang w:val="en-US" w:eastAsia="zh-CN"/>
        </w:rPr>
        <w:t>100</w:t>
      </w:r>
      <w:r>
        <w:rPr>
          <w:rFonts w:hint="eastAsia" w:ascii="仿宋_GB2312" w:hAnsi="仿宋_GB2312" w:eastAsia="仿宋_GB2312" w:cs="仿宋_GB2312"/>
          <w:sz w:val="30"/>
          <w:szCs w:val="30"/>
          <w:highlight w:val="none"/>
        </w:rPr>
        <w:t>%。</w:t>
      </w:r>
    </w:p>
    <w:p w14:paraId="31218BE3">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14:paraId="070B56DF">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582A7704">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该指标赋分</w:t>
      </w:r>
      <w:r>
        <w:rPr>
          <w:rFonts w:hint="eastAsia" w:ascii="仿宋_GB2312" w:hAnsi="仿宋_GB2312" w:eastAsia="仿宋_GB2312" w:cs="仿宋_GB2312"/>
          <w:sz w:val="32"/>
          <w:szCs w:val="32"/>
          <w:lang w:val="en-US" w:eastAsia="zh-CN"/>
        </w:rPr>
        <w:t>3分</w:t>
      </w:r>
      <w:r>
        <w:rPr>
          <w:rFonts w:hint="eastAsia" w:ascii="仿宋_GB2312" w:hAnsi="仿宋_GB2312" w:eastAsia="仿宋_GB2312" w:cs="仿宋_GB2312"/>
          <w:sz w:val="32"/>
          <w:szCs w:val="32"/>
        </w:rPr>
        <w:t>，实际得分</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lang w:eastAsia="zh-CN"/>
        </w:rPr>
        <w:t>。</w:t>
      </w:r>
    </w:p>
    <w:p w14:paraId="5817B73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1782F08F">
      <w:pP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项目严格按照《乌鲁木齐市第五十中学财务管理制度》规定的程序申请设立，依据〔2016〕102号关于印发新疆维吾尔自治区进一步完善城乡义务教育经费保障机制实施方案的通知、〔2018〕48 号关于印发《自治区关于统筹推进县域内城乡义务教育一体化改革 20 发展的实施意见》的通知，项目由财政依据相关政策文件直接下拨，无需申请立项。该指标赋分</w:t>
      </w:r>
      <w:r>
        <w:rPr>
          <w:rFonts w:hint="eastAsia" w:ascii="仿宋_GB2312" w:hAnsi="仿宋_GB2312" w:eastAsia="仿宋_GB2312" w:cs="仿宋_GB2312"/>
          <w:sz w:val="32"/>
          <w:szCs w:val="32"/>
          <w:lang w:val="en-US" w:eastAsia="zh-CN"/>
        </w:rPr>
        <w:t>3分</w:t>
      </w:r>
      <w:r>
        <w:rPr>
          <w:rFonts w:hint="eastAsia" w:ascii="仿宋_GB2312" w:hAnsi="仿宋_GB2312" w:eastAsia="仿宋_GB2312" w:cs="仿宋_GB2312"/>
          <w:sz w:val="32"/>
          <w:szCs w:val="32"/>
        </w:rPr>
        <w:t>，实际得分</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lang w:eastAsia="zh-CN"/>
        </w:rPr>
        <w:t>。</w:t>
      </w:r>
    </w:p>
    <w:p w14:paraId="4CE54A89">
      <w:pPr>
        <w:pStyle w:val="19"/>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14:paraId="70C05A52">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245C45DC">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本项目的绩效目标按照产出、效益和满意度构建绩效评价指标，且具有明确性、可衡量性、可实现性、相关性和时限性等特点，能较为全面地反映本项目的产出和效益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该指标赋分</w:t>
      </w:r>
      <w:r>
        <w:rPr>
          <w:rFonts w:hint="eastAsia" w:ascii="仿宋_GB2312" w:hAnsi="仿宋_GB2312" w:eastAsia="仿宋_GB2312" w:cs="仿宋_GB2312"/>
          <w:sz w:val="32"/>
          <w:szCs w:val="32"/>
          <w:lang w:val="en-US" w:eastAsia="zh-CN"/>
        </w:rPr>
        <w:t>3分</w:t>
      </w:r>
      <w:r>
        <w:rPr>
          <w:rFonts w:hint="eastAsia" w:ascii="仿宋_GB2312" w:hAnsi="仿宋_GB2312" w:eastAsia="仿宋_GB2312" w:cs="仿宋_GB2312"/>
          <w:sz w:val="32"/>
          <w:szCs w:val="32"/>
        </w:rPr>
        <w:t>，实际得分</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lang w:eastAsia="zh-CN"/>
        </w:rPr>
        <w:t>。</w:t>
      </w:r>
    </w:p>
    <w:p w14:paraId="53DAC16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31E2273E">
      <w:pPr>
        <w:spacing w:line="600" w:lineRule="exact"/>
        <w:ind w:firstLine="640" w:firstLineChars="200"/>
        <w:outlineLvl w:val="0"/>
        <w:rPr>
          <w:rFonts w:hint="eastAsia" w:eastAsia="仿宋_GB2312"/>
          <w:lang w:eastAsia="zh-CN"/>
        </w:rPr>
      </w:pPr>
      <w:r>
        <w:rPr>
          <w:rFonts w:hint="eastAsia" w:ascii="仿宋_GB2312" w:hAnsi="仿宋_GB2312" w:eastAsia="仿宋_GB2312" w:cs="仿宋_GB2312"/>
          <w:sz w:val="32"/>
          <w:szCs w:val="32"/>
        </w:rPr>
        <w:t>本项目设置产出、效益及满意度指标，严格按照资金使用具体实施条例严格支付流程，对自聘教师发放补助，做到资金金额发放准确，资金发放基本及时，资金使用效率高效，有效促进了临聘教师工作积极性。其中，目标已细化为具体的绩效指标产出、成本、效益、满意度，可通过数量指标、质量指标、时效指标和成本指标予以量化，并具有确切的评价标准，且指标设定均与目标相关。各项指标均能在现实条件下收集到相关数据进行佐证，并与当年项目年度计划相对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该指标赋分</w:t>
      </w:r>
      <w:r>
        <w:rPr>
          <w:rFonts w:hint="eastAsia" w:ascii="仿宋_GB2312" w:hAnsi="仿宋_GB2312" w:eastAsia="仿宋_GB2312" w:cs="仿宋_GB2312"/>
          <w:sz w:val="32"/>
          <w:szCs w:val="32"/>
          <w:lang w:val="en-US" w:eastAsia="zh-CN"/>
        </w:rPr>
        <w:t>3分</w:t>
      </w:r>
      <w:r>
        <w:rPr>
          <w:rFonts w:hint="eastAsia" w:ascii="仿宋_GB2312" w:hAnsi="仿宋_GB2312" w:eastAsia="仿宋_GB2312" w:cs="仿宋_GB2312"/>
          <w:sz w:val="32"/>
          <w:szCs w:val="32"/>
        </w:rPr>
        <w:t>，实际得分</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lang w:eastAsia="zh-CN"/>
        </w:rPr>
        <w:t>。</w:t>
      </w:r>
    </w:p>
    <w:p w14:paraId="514E4042">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14:paraId="0003EB3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1C9073BC">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预算编制经过科学论证，提供充分的测算依据佐证资料，预算内容与项目内容相匹配。项目投资额与工作任务相匹配。该指标赋分</w:t>
      </w:r>
      <w:r>
        <w:rPr>
          <w:rFonts w:hint="eastAsia" w:ascii="仿宋_GB2312" w:hAnsi="仿宋_GB2312" w:eastAsia="仿宋_GB2312" w:cs="仿宋_GB2312"/>
          <w:sz w:val="32"/>
          <w:szCs w:val="32"/>
          <w:lang w:val="en-US" w:eastAsia="zh-CN"/>
        </w:rPr>
        <w:t>4分</w:t>
      </w:r>
      <w:r>
        <w:rPr>
          <w:rFonts w:hint="eastAsia" w:ascii="仿宋_GB2312" w:hAnsi="仿宋_GB2312" w:eastAsia="仿宋_GB2312" w:cs="仿宋_GB2312"/>
          <w:sz w:val="32"/>
          <w:szCs w:val="32"/>
        </w:rPr>
        <w:t>，实际得分</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lang w:eastAsia="zh-CN"/>
        </w:rPr>
        <w:t>。</w:t>
      </w:r>
    </w:p>
    <w:p w14:paraId="1212E72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32F0C579">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资金分配额度与项目单位实际工作内容相适应，资金分配额度合理，资金分配依据充分。该指标赋分</w:t>
      </w:r>
      <w:r>
        <w:rPr>
          <w:rFonts w:hint="eastAsia" w:ascii="仿宋_GB2312" w:hAnsi="仿宋_GB2312" w:eastAsia="仿宋_GB2312" w:cs="仿宋_GB2312"/>
          <w:sz w:val="32"/>
          <w:szCs w:val="32"/>
          <w:lang w:val="en-US" w:eastAsia="zh-CN"/>
        </w:rPr>
        <w:t>4分</w:t>
      </w:r>
      <w:r>
        <w:rPr>
          <w:rFonts w:hint="eastAsia" w:ascii="仿宋_GB2312" w:hAnsi="仿宋_GB2312" w:eastAsia="仿宋_GB2312" w:cs="仿宋_GB2312"/>
          <w:sz w:val="32"/>
          <w:szCs w:val="32"/>
        </w:rPr>
        <w:t>，实际得分</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lang w:eastAsia="zh-CN"/>
        </w:rPr>
        <w:t>。</w:t>
      </w:r>
    </w:p>
    <w:p w14:paraId="4C056D30">
      <w:pPr>
        <w:pStyle w:val="2"/>
        <w:numPr>
          <w:ilvl w:val="0"/>
          <w:numId w:val="4"/>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74CA0D34">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项目过程类指标包括资金管理和组织实施两方面的内容，由5个三级指标构成，权重分值为20分，</w:t>
      </w:r>
      <w:r>
        <w:rPr>
          <w:rFonts w:hint="eastAsia" w:ascii="仿宋_GB2312" w:hAnsi="仿宋_GB2312" w:eastAsia="仿宋_GB2312" w:cs="仿宋_GB2312"/>
          <w:sz w:val="32"/>
          <w:szCs w:val="32"/>
          <w:highlight w:val="none"/>
        </w:rPr>
        <w:t>实际得分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14:paraId="7EA41B6F">
      <w:pP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项目资金使用符合相关的财务管理制度规定，能够反映和考核项目资金的规范运行情况；项目实施单位的财务和业务管理制度健全，能够反映和考核财务和业务管理制度对项目顺利实施的保障情况。</w:t>
      </w:r>
    </w:p>
    <w:p w14:paraId="4EFE9949">
      <w:pPr>
        <w:pStyle w:val="19"/>
        <w:spacing w:line="560" w:lineRule="exact"/>
        <w:ind w:firstLine="64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1.资金管理</w:t>
      </w:r>
    </w:p>
    <w:p w14:paraId="3D2F50FC">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（1）资金到位率</w:t>
      </w:r>
    </w:p>
    <w:p w14:paraId="6EF58939">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本项目总投资</w:t>
      </w:r>
      <w:r>
        <w:rPr>
          <w:rFonts w:hint="eastAsia" w:ascii="仿宋_GB2312" w:hAnsi="仿宋_GB2312" w:eastAsia="仿宋_GB2312" w:cs="仿宋_GB2312"/>
          <w:sz w:val="32"/>
          <w:szCs w:val="32"/>
          <w:highlight w:val="none"/>
          <w:lang w:val="en-US" w:eastAsia="zh-CN"/>
        </w:rPr>
        <w:t>196.98</w:t>
      </w:r>
      <w:r>
        <w:rPr>
          <w:rFonts w:hint="eastAsia" w:ascii="仿宋_GB2312" w:hAnsi="仿宋_GB2312" w:eastAsia="仿宋_GB2312" w:cs="仿宋_GB2312"/>
          <w:sz w:val="32"/>
          <w:szCs w:val="32"/>
          <w:highlight w:val="none"/>
        </w:rPr>
        <w:t>万元，财政资金及时足额到位，到位率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%，预算资金按计划进度执行。</w:t>
      </w:r>
      <w:r>
        <w:rPr>
          <w:rFonts w:hint="eastAsia" w:ascii="仿宋_GB2312" w:hAnsi="仿宋_GB2312" w:eastAsia="仿宋_GB2312" w:cs="仿宋_GB2312"/>
          <w:sz w:val="32"/>
          <w:szCs w:val="32"/>
        </w:rPr>
        <w:t>该指标赋分</w:t>
      </w:r>
      <w:r>
        <w:rPr>
          <w:rFonts w:hint="eastAsia" w:ascii="仿宋_GB2312" w:hAnsi="仿宋_GB2312" w:eastAsia="仿宋_GB2312" w:cs="仿宋_GB2312"/>
          <w:sz w:val="32"/>
          <w:szCs w:val="32"/>
          <w:lang w:val="en-US" w:eastAsia="zh-CN"/>
        </w:rPr>
        <w:t>4分</w:t>
      </w:r>
      <w:r>
        <w:rPr>
          <w:rFonts w:hint="eastAsia" w:ascii="仿宋_GB2312" w:hAnsi="仿宋_GB2312" w:eastAsia="仿宋_GB2312" w:cs="仿宋_GB2312"/>
          <w:sz w:val="32"/>
          <w:szCs w:val="32"/>
        </w:rPr>
        <w:t>，实际得分</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lang w:eastAsia="zh-CN"/>
        </w:rPr>
        <w:t>。</w:t>
      </w:r>
    </w:p>
    <w:p w14:paraId="080ACEDC">
      <w:pP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（2）预算执行率</w:t>
      </w:r>
    </w:p>
    <w:p w14:paraId="00C70C7E">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预算编制较为详细，项目资金支出总体能够按照预算执行，预算资金支出</w:t>
      </w:r>
      <w:r>
        <w:rPr>
          <w:rFonts w:hint="eastAsia" w:ascii="仿宋_GB2312" w:hAnsi="仿宋_GB2312" w:eastAsia="仿宋_GB2312" w:cs="仿宋_GB2312"/>
          <w:sz w:val="32"/>
          <w:szCs w:val="32"/>
          <w:highlight w:val="none"/>
          <w:lang w:val="en-US" w:eastAsia="zh-CN"/>
        </w:rPr>
        <w:t>196.98</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该指标赋分</w:t>
      </w:r>
      <w:r>
        <w:rPr>
          <w:rFonts w:hint="eastAsia" w:ascii="仿宋_GB2312" w:hAnsi="仿宋_GB2312" w:eastAsia="仿宋_GB2312" w:cs="仿宋_GB2312"/>
          <w:sz w:val="32"/>
          <w:szCs w:val="32"/>
          <w:lang w:val="en-US" w:eastAsia="zh-CN"/>
        </w:rPr>
        <w:t>4分</w:t>
      </w:r>
      <w:r>
        <w:rPr>
          <w:rFonts w:hint="eastAsia" w:ascii="仿宋_GB2312" w:hAnsi="仿宋_GB2312" w:eastAsia="仿宋_GB2312" w:cs="仿宋_GB2312"/>
          <w:sz w:val="32"/>
          <w:szCs w:val="32"/>
        </w:rPr>
        <w:t>，实际得分</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lang w:eastAsia="zh-CN"/>
        </w:rPr>
        <w:t>。</w:t>
      </w:r>
    </w:p>
    <w:p w14:paraId="69A95D4B">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（3）资金使用合规性</w:t>
      </w:r>
    </w:p>
    <w:p w14:paraId="62BCA494">
      <w:pPr>
        <w:pStyle w:val="19"/>
        <w:spacing w:line="560" w:lineRule="exact"/>
        <w:ind w:firstLine="64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highlight w:val="none"/>
          <w:lang w:val="en-US" w:eastAsia="zh-CN" w:bidi="ar-SA"/>
        </w:rPr>
        <w:t>本项目资金的使用符合水磨沟区教育系统</w:t>
      </w:r>
      <w:r>
        <w:rPr>
          <w:rFonts w:hint="eastAsia" w:ascii="仿宋_GB2312" w:hAnsi="仿宋_GB2312" w:eastAsia="仿宋_GB2312" w:cs="仿宋_GB2312"/>
          <w:kern w:val="2"/>
          <w:sz w:val="32"/>
          <w:szCs w:val="32"/>
          <w:lang w:val="en-US" w:eastAsia="zh-CN" w:bidi="ar-SA"/>
        </w:rPr>
        <w:t>财务审批管理办法和乌鲁木齐市第五十中学管理制度以及有关各项经费支出的管理办法的规定。同时，资金的拨付有2.0预算管理一体化系统的审批程序，需要人事部门出具考勤，报校领导审批，校领导签字同意后汇总到财务室，由财务将资金汇入相应的劳务派遣公司，符合项目预算批复或合同规定的用途，不存在截留、挤占、挪用、虚列支出等情况。</w:t>
      </w:r>
      <w:r>
        <w:rPr>
          <w:rFonts w:hint="eastAsia" w:ascii="仿宋_GB2312" w:hAnsi="仿宋_GB2312" w:eastAsia="仿宋_GB2312" w:cs="仿宋_GB2312"/>
          <w:sz w:val="32"/>
          <w:szCs w:val="32"/>
        </w:rPr>
        <w:t>该指标赋分</w:t>
      </w:r>
      <w:r>
        <w:rPr>
          <w:rFonts w:hint="eastAsia" w:ascii="仿宋_GB2312" w:hAnsi="仿宋_GB2312" w:eastAsia="仿宋_GB2312" w:cs="仿宋_GB2312"/>
          <w:sz w:val="32"/>
          <w:szCs w:val="32"/>
          <w:lang w:val="en-US" w:eastAsia="zh-CN"/>
        </w:rPr>
        <w:t>4分</w:t>
      </w:r>
      <w:r>
        <w:rPr>
          <w:rFonts w:hint="eastAsia" w:ascii="仿宋_GB2312" w:hAnsi="仿宋_GB2312" w:eastAsia="仿宋_GB2312" w:cs="仿宋_GB2312"/>
          <w:sz w:val="32"/>
          <w:szCs w:val="32"/>
        </w:rPr>
        <w:t>，实际得分</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lang w:eastAsia="zh-CN"/>
        </w:rPr>
        <w:t>。</w:t>
      </w:r>
    </w:p>
    <w:p w14:paraId="233F4D59">
      <w:pPr>
        <w:pStyle w:val="19"/>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5B5B37F8">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728A4C33">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乌鲁木齐市第五十中学已制定相应的财务和业务管理制度，且制度合法、合规、完整，为项目顺利实施提供重要保障。该指标赋分</w:t>
      </w:r>
      <w:r>
        <w:rPr>
          <w:rFonts w:hint="eastAsia" w:ascii="仿宋_GB2312" w:hAnsi="仿宋_GB2312" w:eastAsia="仿宋_GB2312" w:cs="仿宋_GB2312"/>
          <w:sz w:val="32"/>
          <w:szCs w:val="32"/>
          <w:lang w:val="en-US" w:eastAsia="zh-CN"/>
        </w:rPr>
        <w:t>4分</w:t>
      </w:r>
      <w:r>
        <w:rPr>
          <w:rFonts w:hint="eastAsia" w:ascii="仿宋_GB2312" w:hAnsi="仿宋_GB2312" w:eastAsia="仿宋_GB2312" w:cs="仿宋_GB2312"/>
          <w:sz w:val="32"/>
          <w:szCs w:val="32"/>
        </w:rPr>
        <w:t>，实际得分</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lang w:eastAsia="zh-CN"/>
        </w:rPr>
        <w:t>。</w:t>
      </w:r>
    </w:p>
    <w:p w14:paraId="0FCC4D8D">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5C39A21E">
      <w:pPr>
        <w:pStyle w:val="9"/>
        <w:numPr>
          <w:ilvl w:val="0"/>
          <w:numId w:val="0"/>
        </w:numPr>
        <w:spacing w:line="56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根据现场调研和资料抽查情况，乌鲁木齐市第五十中学严格遵守相关法律法规和相关管理规定，项目调整及支出调整手续完备，整体管理合理有序，项目完成后，及时将会计凭证、会议记录、合同等相关资料分类归档，制度执行有效。</w:t>
      </w:r>
      <w:r>
        <w:rPr>
          <w:rFonts w:hint="eastAsia" w:ascii="仿宋_GB2312" w:hAnsi="仿宋_GB2312" w:eastAsia="仿宋_GB2312" w:cs="仿宋_GB2312"/>
          <w:sz w:val="32"/>
          <w:szCs w:val="32"/>
        </w:rPr>
        <w:t>该指标赋分</w:t>
      </w:r>
      <w:r>
        <w:rPr>
          <w:rFonts w:hint="eastAsia" w:ascii="仿宋_GB2312" w:hAnsi="仿宋_GB2312" w:eastAsia="仿宋_GB2312" w:cs="仿宋_GB2312"/>
          <w:sz w:val="32"/>
          <w:szCs w:val="32"/>
          <w:lang w:val="en-US" w:eastAsia="zh-CN"/>
        </w:rPr>
        <w:t>4分</w:t>
      </w:r>
      <w:r>
        <w:rPr>
          <w:rFonts w:hint="eastAsia" w:ascii="仿宋_GB2312" w:hAnsi="仿宋_GB2312" w:eastAsia="仿宋_GB2312" w:cs="仿宋_GB2312"/>
          <w:sz w:val="32"/>
          <w:szCs w:val="32"/>
        </w:rPr>
        <w:t>，实际得分</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lang w:eastAsia="zh-CN"/>
        </w:rPr>
        <w:t>。</w:t>
      </w:r>
    </w:p>
    <w:p w14:paraId="2A8D68EC">
      <w:pPr>
        <w:pStyle w:val="9"/>
        <w:numPr>
          <w:ilvl w:val="0"/>
          <w:numId w:val="4"/>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14:paraId="59B074D5">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个三级指标构成，权重分为</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highlight w:val="none"/>
        </w:rPr>
        <w:t>实际得分</w:t>
      </w:r>
      <w:r>
        <w:rPr>
          <w:rFonts w:hint="eastAsia" w:ascii="仿宋_GB2312" w:hAnsi="仿宋_GB2312" w:eastAsia="仿宋_GB2312" w:cs="仿宋_GB2312"/>
          <w:sz w:val="32"/>
          <w:szCs w:val="32"/>
          <w:highlight w:val="none"/>
          <w:lang w:val="en-US" w:eastAsia="zh-CN"/>
        </w:rPr>
        <w:t>26.77</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89.23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具体产出指标完成情况如下：</w:t>
      </w:r>
    </w:p>
    <w:p w14:paraId="4CCAD50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14:paraId="28D96D7E">
      <w:pPr>
        <w:keepNext w:val="0"/>
        <w:keepLines w:val="0"/>
        <w:widowControl/>
        <w:suppressLineNumbers w:val="0"/>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指标1：</w:t>
      </w:r>
      <w:r>
        <w:rPr>
          <w:rFonts w:hint="default" w:ascii="仿宋_GB2312" w:hAnsi="仿宋_GB2312" w:eastAsia="仿宋_GB2312" w:cs="仿宋_GB2312"/>
          <w:sz w:val="32"/>
          <w:szCs w:val="32"/>
          <w:lang w:val="en-US" w:eastAsia="zh-CN"/>
        </w:rPr>
        <w:t>零星维修校舍次数</w:t>
      </w:r>
      <w:r>
        <w:rPr>
          <w:rFonts w:hint="eastAsia" w:ascii="仿宋_GB2312" w:hAnsi="仿宋_GB2312" w:eastAsia="仿宋_GB2312" w:cs="仿宋_GB2312"/>
          <w:sz w:val="32"/>
          <w:szCs w:val="32"/>
        </w:rPr>
        <w:t>，指标值：&gt;=4</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次，实际完成值：</w:t>
      </w:r>
      <w:r>
        <w:rPr>
          <w:rFonts w:hint="eastAsia" w:ascii="仿宋_GB2312" w:hAnsi="仿宋_GB2312" w:eastAsia="仿宋_GB2312" w:cs="仿宋_GB2312"/>
          <w:sz w:val="32"/>
          <w:szCs w:val="32"/>
          <w:lang w:val="en-US" w:eastAsia="zh-CN"/>
        </w:rPr>
        <w:t>=1</w:t>
      </w:r>
      <w:r>
        <w:rPr>
          <w:rFonts w:hint="eastAsia" w:eastAsia="仿宋_GB2312"/>
          <w:sz w:val="32"/>
          <w:szCs w:val="32"/>
          <w:lang w:val="en-US" w:eastAsia="zh-CN"/>
        </w:rPr>
        <w:t>7</w:t>
      </w:r>
      <w:r>
        <w:rPr>
          <w:rFonts w:hint="eastAsia" w:ascii="仿宋_GB2312" w:hAnsi="仿宋_GB2312" w:eastAsia="仿宋_GB2312" w:cs="仿宋_GB2312"/>
          <w:sz w:val="32"/>
          <w:szCs w:val="32"/>
          <w:lang w:val="en-US" w:eastAsia="zh-CN"/>
        </w:rPr>
        <w:t>次</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37.78</w:t>
      </w:r>
      <w:r>
        <w:rPr>
          <w:rFonts w:hint="eastAsia" w:ascii="仿宋_GB2312" w:hAnsi="仿宋_GB2312" w:eastAsia="仿宋_GB2312" w:cs="仿宋_GB2312"/>
          <w:sz w:val="32"/>
          <w:szCs w:val="32"/>
        </w:rPr>
        <w:t>%，偏差原因：</w:t>
      </w:r>
      <w:r>
        <w:rPr>
          <w:rFonts w:hint="default" w:ascii="仿宋_GB2312" w:hAnsi="仿宋_GB2312" w:eastAsia="仿宋_GB2312" w:cs="仿宋_GB2312"/>
          <w:sz w:val="32"/>
          <w:szCs w:val="32"/>
          <w:lang w:val="en-US" w:eastAsia="zh-CN"/>
        </w:rPr>
        <w:t>本项目资金支付了4次维修工程尾款，金额较大，导致零星维修次数减少，与目标值产生偏差。</w:t>
      </w:r>
    </w:p>
    <w:p w14:paraId="3E1C7E53">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指标2：教师培训次数，指标值：&gt;=</w:t>
      </w:r>
      <w:r>
        <w:rPr>
          <w:rFonts w:hint="eastAsia" w:ascii="仿宋_GB2312" w:hAnsi="仿宋_GB2312" w:eastAsia="仿宋_GB2312" w:cs="仿宋_GB2312"/>
          <w:sz w:val="32"/>
          <w:szCs w:val="32"/>
          <w:lang w:val="en-US" w:eastAsia="zh-CN"/>
        </w:rPr>
        <w:t>8</w:t>
      </w:r>
      <w:r>
        <w:rPr>
          <w:rFonts w:hint="eastAsia" w:eastAsia="仿宋_GB2312"/>
          <w:sz w:val="32"/>
          <w:szCs w:val="32"/>
          <w:lang w:val="en-US" w:eastAsia="zh-CN"/>
        </w:rPr>
        <w:t>5</w:t>
      </w:r>
      <w:r>
        <w:rPr>
          <w:rFonts w:hint="eastAsia" w:ascii="仿宋_GB2312" w:hAnsi="仿宋_GB2312" w:eastAsia="仿宋_GB2312" w:cs="仿宋_GB2312"/>
          <w:sz w:val="32"/>
          <w:szCs w:val="32"/>
        </w:rPr>
        <w:t>次，实际完成值：</w:t>
      </w:r>
      <w:r>
        <w:rPr>
          <w:rFonts w:hint="eastAsia" w:ascii="仿宋_GB2312" w:hAnsi="仿宋_GB2312" w:eastAsia="仿宋_GB2312" w:cs="仿宋_GB2312"/>
          <w:sz w:val="32"/>
          <w:szCs w:val="32"/>
          <w:lang w:val="en-US" w:eastAsia="zh-CN"/>
        </w:rPr>
        <w:t>=83次</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9</w:t>
      </w:r>
      <w:r>
        <w:rPr>
          <w:rFonts w:hint="eastAsia" w:eastAsia="仿宋_GB2312"/>
          <w:sz w:val="32"/>
          <w:szCs w:val="32"/>
          <w:lang w:val="en-US" w:eastAsia="zh-CN"/>
        </w:rPr>
        <w:t>7</w:t>
      </w:r>
      <w:r>
        <w:rPr>
          <w:rFonts w:hint="eastAsia" w:ascii="仿宋_GB2312" w:hAnsi="仿宋_GB2312" w:eastAsia="仿宋_GB2312" w:cs="仿宋_GB2312"/>
          <w:sz w:val="32"/>
          <w:szCs w:val="32"/>
          <w:lang w:val="en-US" w:eastAsia="zh-CN"/>
        </w:rPr>
        <w:t>.6</w:t>
      </w:r>
      <w:r>
        <w:rPr>
          <w:rFonts w:hint="eastAsia" w:eastAsia="仿宋_GB2312"/>
          <w:sz w:val="32"/>
          <w:szCs w:val="32"/>
          <w:lang w:val="en-US" w:eastAsia="zh-CN"/>
        </w:rPr>
        <w:t>5</w:t>
      </w:r>
      <w:r>
        <w:rPr>
          <w:rFonts w:hint="eastAsia" w:ascii="仿宋_GB2312" w:hAnsi="仿宋_GB2312" w:eastAsia="仿宋_GB2312" w:cs="仿宋_GB2312"/>
          <w:sz w:val="32"/>
          <w:szCs w:val="32"/>
        </w:rPr>
        <w:t>%，偏差原因：支付了2023年、2024年教师培训费用，与目标值略产生偏差。</w:t>
      </w:r>
    </w:p>
    <w:p w14:paraId="05A6A4E9">
      <w:pP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：购置各类教育教学用品，指标值：&gt;=</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lang w:eastAsia="zh-CN"/>
        </w:rPr>
        <w:t>类</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=6</w:t>
      </w:r>
      <w:r>
        <w:rPr>
          <w:rFonts w:hint="eastAsia" w:eastAsia="仿宋_GB2312"/>
          <w:sz w:val="32"/>
          <w:szCs w:val="32"/>
          <w:lang w:val="en-US" w:eastAsia="zh-CN"/>
        </w:rPr>
        <w:t>5</w:t>
      </w:r>
      <w:r>
        <w:rPr>
          <w:rFonts w:hint="eastAsia" w:ascii="仿宋_GB2312" w:hAnsi="仿宋_GB2312" w:eastAsia="仿宋_GB2312" w:cs="仿宋_GB2312"/>
          <w:sz w:val="32"/>
          <w:szCs w:val="32"/>
          <w:lang w:val="en-US" w:eastAsia="zh-CN"/>
        </w:rPr>
        <w:t>类（</w:t>
      </w:r>
      <w:r>
        <w:rPr>
          <w:rFonts w:hint="eastAsia" w:ascii="仿宋_GB2312" w:hAnsi="仿宋_GB2312" w:eastAsia="仿宋_GB2312" w:cs="仿宋_GB2312"/>
          <w:sz w:val="32"/>
          <w:szCs w:val="32"/>
          <w:lang w:eastAsia="zh-CN"/>
        </w:rPr>
        <w:t>复印</w:t>
      </w:r>
      <w:r>
        <w:rPr>
          <w:rFonts w:hint="eastAsia" w:ascii="仿宋_GB2312" w:hAnsi="仿宋_GB2312" w:eastAsia="仿宋_GB2312" w:cs="仿宋_GB2312"/>
          <w:sz w:val="32"/>
          <w:szCs w:val="32"/>
        </w:rPr>
        <w:t>纸</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学生奖品、听课记录本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硒鼓粉盒、印刷耗材</w:t>
      </w:r>
      <w:r>
        <w:rPr>
          <w:rFonts w:hint="eastAsia" w:ascii="仿宋_GB2312" w:hAnsi="仿宋_GB2312" w:eastAsia="仿宋_GB2312" w:cs="仿宋_GB2312"/>
          <w:sz w:val="32"/>
          <w:szCs w:val="32"/>
          <w:lang w:eastAsia="zh-CN"/>
        </w:rPr>
        <w:t>、教师用</w:t>
      </w:r>
      <w:r>
        <w:rPr>
          <w:rFonts w:hint="eastAsia" w:ascii="仿宋_GB2312" w:hAnsi="仿宋_GB2312" w:eastAsia="仿宋_GB2312" w:cs="仿宋_GB2312"/>
          <w:sz w:val="32"/>
          <w:szCs w:val="32"/>
        </w:rPr>
        <w:t>书、运动会奖品、毕业档案袋、财务</w:t>
      </w:r>
      <w:r>
        <w:rPr>
          <w:rFonts w:hint="eastAsia" w:ascii="仿宋_GB2312" w:hAnsi="仿宋_GB2312" w:eastAsia="仿宋_GB2312" w:cs="仿宋_GB2312"/>
          <w:sz w:val="32"/>
          <w:szCs w:val="32"/>
          <w:lang w:eastAsia="zh-CN"/>
        </w:rPr>
        <w:t>办公用品</w:t>
      </w:r>
      <w:r>
        <w:rPr>
          <w:rFonts w:hint="eastAsia" w:ascii="仿宋_GB2312" w:hAnsi="仿宋_GB2312" w:eastAsia="仿宋_GB2312" w:cs="仿宋_GB2312"/>
          <w:sz w:val="32"/>
          <w:szCs w:val="32"/>
        </w:rPr>
        <w:t>、饮水机耗材、劳动工具、灭火器、素质报告册、横幅展架、胶水、印油、备课本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中性笔、试卷、笔记本</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162.</w:t>
      </w:r>
      <w:r>
        <w:rPr>
          <w:rFonts w:hint="eastAsia" w:eastAsia="仿宋_GB2312"/>
          <w:sz w:val="32"/>
          <w:szCs w:val="32"/>
          <w:lang w:val="en-US" w:eastAsia="zh-CN"/>
        </w:rPr>
        <w:t>5</w:t>
      </w:r>
      <w:r>
        <w:rPr>
          <w:rFonts w:hint="eastAsia" w:ascii="仿宋_GB2312" w:hAnsi="仿宋_GB2312" w:eastAsia="仿宋_GB2312" w:cs="仿宋_GB2312"/>
          <w:sz w:val="32"/>
          <w:szCs w:val="32"/>
        </w:rPr>
        <w:t>%，偏差原因：支付了2023年、2024年购置的教学用品，与目标值产生偏差</w:t>
      </w:r>
      <w:r>
        <w:rPr>
          <w:rFonts w:hint="eastAsia" w:ascii="仿宋_GB2312" w:hAnsi="仿宋_GB2312" w:eastAsia="仿宋_GB2312" w:cs="仿宋_GB2312"/>
          <w:color w:val="auto"/>
          <w:sz w:val="32"/>
          <w:szCs w:val="32"/>
          <w:lang w:val="en-US" w:eastAsia="zh-CN"/>
        </w:rPr>
        <w:t>。</w:t>
      </w:r>
    </w:p>
    <w:p w14:paraId="4F5E191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14:paraId="19648069">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指标1：学校校舍日常维修质量合格率，指标值：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通过实地检查以及验收单确认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14:paraId="5F350A5C">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指标2：培训结业率，指标值：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14:paraId="253C9E25">
      <w:pPr>
        <w:spacing w:line="600" w:lineRule="exact"/>
        <w:ind w:firstLine="640" w:firstLineChars="200"/>
        <w:outlineLvl w:val="0"/>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：购置用品质量合格率，指标值：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%（通过验收</w:t>
      </w:r>
      <w:r>
        <w:rPr>
          <w:rFonts w:hint="eastAsia" w:ascii="仿宋_GB2312" w:hAnsi="仿宋_GB2312" w:eastAsia="仿宋_GB2312" w:cs="仿宋_GB2312"/>
          <w:sz w:val="32"/>
          <w:szCs w:val="32"/>
          <w:lang w:eastAsia="zh-CN"/>
        </w:rPr>
        <w:t>单</w:t>
      </w:r>
      <w:r>
        <w:rPr>
          <w:rFonts w:hint="eastAsia" w:ascii="仿宋_GB2312" w:hAnsi="仿宋_GB2312" w:eastAsia="仿宋_GB2312" w:cs="仿宋_GB2312"/>
          <w:sz w:val="32"/>
          <w:szCs w:val="32"/>
        </w:rPr>
        <w:t>确认）。</w:t>
      </w:r>
    </w:p>
    <w:p w14:paraId="25D6C186">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14:paraId="745A603B">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指标1：校舍维修成本，指标值：&lt;=1</w:t>
      </w:r>
      <w:r>
        <w:rPr>
          <w:rFonts w:hint="eastAsia" w:eastAsia="仿宋_GB2312"/>
          <w:sz w:val="32"/>
          <w:szCs w:val="32"/>
          <w:lang w:val="en-US" w:eastAsia="zh-CN"/>
        </w:rPr>
        <w:t>5</w:t>
      </w:r>
      <w:r>
        <w:rPr>
          <w:rFonts w:hint="eastAsia" w:ascii="仿宋_GB2312" w:hAnsi="仿宋_GB2312" w:eastAsia="仿宋_GB2312" w:cs="仿宋_GB2312"/>
          <w:sz w:val="32"/>
          <w:szCs w:val="32"/>
        </w:rPr>
        <w:t>000元/次，实际完成值：=3391</w:t>
      </w:r>
      <w:r>
        <w:rPr>
          <w:rFonts w:hint="eastAsia" w:eastAsia="仿宋_GB2312"/>
          <w:sz w:val="32"/>
          <w:szCs w:val="32"/>
          <w:lang w:val="en-US" w:eastAsia="zh-CN"/>
        </w:rPr>
        <w:t>7</w:t>
      </w:r>
      <w:r>
        <w:rPr>
          <w:rFonts w:hint="eastAsia" w:ascii="仿宋_GB2312" w:hAnsi="仿宋_GB2312" w:eastAsia="仿宋_GB2312" w:cs="仿宋_GB2312"/>
          <w:sz w:val="32"/>
          <w:szCs w:val="32"/>
        </w:rPr>
        <w:t>.</w:t>
      </w:r>
      <w:r>
        <w:rPr>
          <w:rFonts w:hint="eastAsia" w:eastAsia="仿宋_GB2312"/>
          <w:sz w:val="32"/>
          <w:szCs w:val="32"/>
          <w:lang w:val="en-US" w:eastAsia="zh-CN"/>
        </w:rPr>
        <w:t>7</w:t>
      </w:r>
      <w:r>
        <w:rPr>
          <w:rFonts w:hint="eastAsia" w:ascii="仿宋_GB2312" w:hAnsi="仿宋_GB2312" w:eastAsia="仿宋_GB2312" w:cs="仿宋_GB2312"/>
          <w:sz w:val="32"/>
          <w:szCs w:val="32"/>
        </w:rPr>
        <w:t>9元/次，指标完成率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%。偏差原因：本项目资金支付了4次维修工程尾款，金额较大，导致与成本目标值产生偏差。</w:t>
      </w:r>
    </w:p>
    <w:p w14:paraId="72810BF3">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指标2：购置各类教育教学用品成本，指标值：&lt;=1</w:t>
      </w:r>
      <w:r>
        <w:rPr>
          <w:rFonts w:hint="eastAsia" w:eastAsia="仿宋_GB2312"/>
          <w:sz w:val="32"/>
          <w:szCs w:val="32"/>
          <w:lang w:val="en-US" w:eastAsia="zh-CN"/>
        </w:rPr>
        <w:t>5</w:t>
      </w:r>
      <w:r>
        <w:rPr>
          <w:rFonts w:hint="eastAsia" w:ascii="仿宋_GB2312" w:hAnsi="仿宋_GB2312" w:eastAsia="仿宋_GB2312" w:cs="仿宋_GB2312"/>
          <w:sz w:val="32"/>
          <w:szCs w:val="32"/>
        </w:rPr>
        <w:t>000元/类，实际完成值：=1483</w:t>
      </w:r>
      <w:r>
        <w:rPr>
          <w:rFonts w:hint="eastAsia" w:eastAsia="仿宋_GB2312"/>
          <w:sz w:val="32"/>
          <w:szCs w:val="32"/>
          <w:lang w:val="en-US" w:eastAsia="zh-CN"/>
        </w:rPr>
        <w:t>7</w:t>
      </w:r>
      <w:r>
        <w:rPr>
          <w:rFonts w:hint="eastAsia" w:ascii="仿宋_GB2312" w:hAnsi="仿宋_GB2312" w:eastAsia="仿宋_GB2312" w:cs="仿宋_GB2312"/>
          <w:sz w:val="32"/>
          <w:szCs w:val="32"/>
        </w:rPr>
        <w:t>.86元/类，指标完成率</w:t>
      </w:r>
      <w:r>
        <w:rPr>
          <w:rFonts w:hint="eastAsia" w:ascii="仿宋_GB2312" w:hAnsi="仿宋_GB2312" w:eastAsia="仿宋_GB2312" w:cs="仿宋_GB2312"/>
          <w:sz w:val="32"/>
          <w:szCs w:val="32"/>
          <w:lang w:val="en-US" w:eastAsia="zh-CN"/>
        </w:rPr>
        <w:t>98.92</w:t>
      </w:r>
      <w:r>
        <w:rPr>
          <w:rFonts w:hint="eastAsia" w:ascii="仿宋_GB2312" w:hAnsi="仿宋_GB2312" w:eastAsia="仿宋_GB2312" w:cs="仿宋_GB2312"/>
          <w:sz w:val="32"/>
          <w:szCs w:val="32"/>
        </w:rPr>
        <w:t>%。偏差原因：</w:t>
      </w:r>
      <w:r>
        <w:rPr>
          <w:rFonts w:hint="default" w:ascii="仿宋_GB2312" w:hAnsi="仿宋_GB2312" w:eastAsia="仿宋_GB2312" w:cs="仿宋_GB2312"/>
          <w:sz w:val="32"/>
          <w:szCs w:val="32"/>
          <w:lang w:val="en-US" w:eastAsia="zh-CN"/>
        </w:rPr>
        <w:t>支付了2023年、2024年购置的教学用品，与目标值略产生偏差。</w:t>
      </w:r>
    </w:p>
    <w:p w14:paraId="74B8C111">
      <w:pPr>
        <w:spacing w:line="600" w:lineRule="exact"/>
        <w:ind w:firstLine="640" w:firstLineChars="200"/>
        <w:outlineLvl w:val="0"/>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default" w:ascii="仿宋_GB2312" w:hAnsi="仿宋_GB2312" w:eastAsia="仿宋_GB2312" w:cs="仿宋_GB2312"/>
          <w:sz w:val="32"/>
          <w:szCs w:val="32"/>
          <w:lang w:val="en-US" w:eastAsia="zh-CN"/>
        </w:rPr>
        <w:t>教师培训成本</w:t>
      </w:r>
      <w:r>
        <w:rPr>
          <w:rFonts w:hint="eastAsia" w:ascii="仿宋_GB2312" w:hAnsi="仿宋_GB2312" w:eastAsia="仿宋_GB2312" w:cs="仿宋_GB2312"/>
          <w:sz w:val="32"/>
          <w:szCs w:val="32"/>
          <w:lang w:val="en-US" w:eastAsia="zh-CN"/>
        </w:rPr>
        <w:t>，指标值：</w:t>
      </w:r>
      <w:r>
        <w:rPr>
          <w:rFonts w:hint="default" w:ascii="仿宋_GB2312" w:hAnsi="仿宋_GB2312" w:eastAsia="仿宋_GB2312" w:cs="仿宋_GB2312"/>
          <w:sz w:val="32"/>
          <w:szCs w:val="32"/>
          <w:lang w:val="en-US" w:eastAsia="zh-CN"/>
        </w:rPr>
        <w:t>&lt;=8000元/次</w:t>
      </w:r>
      <w:r>
        <w:rPr>
          <w:rFonts w:hint="eastAsia" w:ascii="仿宋_GB2312" w:hAnsi="仿宋_GB2312" w:eastAsia="仿宋_GB2312" w:cs="仿宋_GB2312"/>
          <w:sz w:val="32"/>
          <w:szCs w:val="32"/>
          <w:lang w:val="en-US" w:eastAsia="zh-CN"/>
        </w:rPr>
        <w:t>，实际完成值：</w:t>
      </w:r>
      <w:r>
        <w:rPr>
          <w:rFonts w:hint="default" w:ascii="仿宋_GB2312" w:hAnsi="仿宋_GB2312" w:eastAsia="仿宋_GB2312" w:cs="仿宋_GB2312"/>
          <w:sz w:val="32"/>
          <w:szCs w:val="32"/>
          <w:lang w:val="en-US" w:eastAsia="zh-CN"/>
        </w:rPr>
        <w:t>=</w:t>
      </w:r>
      <w:r>
        <w:rPr>
          <w:rFonts w:hint="eastAsia" w:eastAsia="仿宋_GB2312"/>
          <w:sz w:val="32"/>
          <w:szCs w:val="32"/>
          <w:lang w:val="en-US" w:eastAsia="zh-CN"/>
        </w:rPr>
        <w:t>5</w:t>
      </w:r>
      <w:r>
        <w:rPr>
          <w:rFonts w:hint="default" w:ascii="仿宋_GB2312" w:hAnsi="仿宋_GB2312" w:eastAsia="仿宋_GB2312" w:cs="仿宋_GB2312"/>
          <w:sz w:val="32"/>
          <w:szCs w:val="32"/>
          <w:lang w:val="en-US" w:eastAsia="zh-CN"/>
        </w:rPr>
        <w:t>16</w:t>
      </w:r>
      <w:r>
        <w:rPr>
          <w:rFonts w:hint="eastAsia" w:eastAsia="仿宋_GB2312"/>
          <w:sz w:val="32"/>
          <w:szCs w:val="32"/>
          <w:lang w:val="en-US" w:eastAsia="zh-CN"/>
        </w:rPr>
        <w:t>5</w:t>
      </w:r>
      <w:r>
        <w:rPr>
          <w:rFonts w:hint="default" w:ascii="仿宋_GB2312" w:hAnsi="仿宋_GB2312" w:eastAsia="仿宋_GB2312" w:cs="仿宋_GB2312"/>
          <w:sz w:val="32"/>
          <w:szCs w:val="32"/>
          <w:lang w:val="en-US" w:eastAsia="zh-CN"/>
        </w:rPr>
        <w:t>.48元/次</w:t>
      </w:r>
      <w:r>
        <w:rPr>
          <w:rFonts w:hint="eastAsia" w:ascii="仿宋_GB2312" w:hAnsi="仿宋_GB2312" w:eastAsia="仿宋_GB2312" w:cs="仿宋_GB2312"/>
          <w:sz w:val="32"/>
          <w:szCs w:val="32"/>
          <w:lang w:val="en-US" w:eastAsia="zh-CN"/>
        </w:rPr>
        <w:t>，指标完成率64.</w:t>
      </w:r>
      <w:r>
        <w:rPr>
          <w:rFonts w:hint="eastAsia" w:eastAsia="仿宋_GB2312"/>
          <w:sz w:val="32"/>
          <w:szCs w:val="32"/>
          <w:lang w:val="en-US" w:eastAsia="zh-CN"/>
        </w:rPr>
        <w:t>57</w:t>
      </w:r>
      <w:r>
        <w:rPr>
          <w:rFonts w:hint="eastAsia" w:ascii="仿宋_GB2312" w:hAnsi="仿宋_GB2312" w:eastAsia="仿宋_GB2312" w:cs="仿宋_GB2312"/>
          <w:sz w:val="32"/>
          <w:szCs w:val="32"/>
          <w:lang w:val="en-US" w:eastAsia="zh-CN"/>
        </w:rPr>
        <w:t>%。偏差原因：</w:t>
      </w:r>
      <w:r>
        <w:rPr>
          <w:rFonts w:hint="default" w:ascii="仿宋_GB2312" w:hAnsi="仿宋_GB2312" w:eastAsia="仿宋_GB2312" w:cs="仿宋_GB2312"/>
          <w:sz w:val="32"/>
          <w:szCs w:val="32"/>
          <w:lang w:val="en-US" w:eastAsia="zh-CN"/>
        </w:rPr>
        <w:t>支付了2023年、2024年教师培训费用，与目标值略产生偏差。</w:t>
      </w:r>
    </w:p>
    <w:p w14:paraId="543FA76C">
      <w:pPr>
        <w:pStyle w:val="9"/>
        <w:numPr>
          <w:ilvl w:val="0"/>
          <w:numId w:val="4"/>
        </w:numPr>
        <w:spacing w:line="560" w:lineRule="exact"/>
        <w:ind w:firstLine="643"/>
        <w:rPr>
          <w:rFonts w:eastAsia="楷体_GB2312"/>
          <w:b/>
          <w:bCs/>
          <w:sz w:val="32"/>
          <w:szCs w:val="32"/>
        </w:rPr>
      </w:pPr>
      <w:r>
        <w:rPr>
          <w:rFonts w:hint="eastAsia" w:eastAsia="楷体_GB2312"/>
          <w:b/>
          <w:bCs/>
          <w:sz w:val="32"/>
          <w:szCs w:val="32"/>
        </w:rPr>
        <w:t>项目效益情况</w:t>
      </w:r>
    </w:p>
    <w:p w14:paraId="303141E6">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个三级指标构成，权重分为</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highlight w:val="none"/>
        </w:rPr>
        <w:t>，实际得分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%。具体效益指标及满意度指标完成</w:t>
      </w:r>
      <w:r>
        <w:rPr>
          <w:rFonts w:hint="eastAsia" w:ascii="仿宋_GB2312" w:hAnsi="仿宋_GB2312" w:eastAsia="仿宋_GB2312" w:cs="仿宋_GB2312"/>
          <w:sz w:val="32"/>
          <w:szCs w:val="32"/>
        </w:rPr>
        <w:t>情况如下：</w:t>
      </w:r>
    </w:p>
    <w:p w14:paraId="1958A8D8">
      <w:pPr>
        <w:spacing w:line="600" w:lineRule="exact"/>
        <w:ind w:firstLine="643"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1.实施效益</w:t>
      </w:r>
    </w:p>
    <w:p w14:paraId="314B5029">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①经济效益指标：</w:t>
      </w:r>
    </w:p>
    <w:p w14:paraId="1EB852A1">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不适用。</w:t>
      </w:r>
    </w:p>
    <w:p w14:paraId="1C570E95">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②社会效益指标：</w:t>
      </w:r>
    </w:p>
    <w:p w14:paraId="31817BF5">
      <w:pPr>
        <w:spacing w:line="600" w:lineRule="exact"/>
        <w:ind w:firstLine="640" w:firstLineChars="200"/>
        <w:outlineLvl w:val="0"/>
        <w:rPr>
          <w:rFonts w:hint="default"/>
          <w:lang w:val="en-US"/>
        </w:rPr>
      </w:pPr>
      <w:r>
        <w:rPr>
          <w:rFonts w:hint="default" w:ascii="仿宋_GB2312" w:hAnsi="仿宋_GB2312" w:eastAsia="仿宋_GB2312" w:cs="仿宋_GB2312"/>
          <w:sz w:val="32"/>
          <w:szCs w:val="32"/>
          <w:lang w:val="en-US" w:eastAsia="zh-CN"/>
        </w:rPr>
        <w:t>“提高学校教学水平、改善办学条件”</w:t>
      </w:r>
      <w:r>
        <w:rPr>
          <w:rFonts w:hint="eastAsia" w:ascii="仿宋_GB2312" w:hAnsi="仿宋_GB2312" w:eastAsia="仿宋_GB2312" w:cs="仿宋_GB2312"/>
          <w:sz w:val="32"/>
          <w:szCs w:val="32"/>
          <w:lang w:val="en-US" w:eastAsia="zh-CN"/>
        </w:rPr>
        <w:t>，指标值：有效改善，实际完成值：完全达到预期。达到了</w:t>
      </w:r>
      <w:r>
        <w:rPr>
          <w:rFonts w:hint="default" w:ascii="仿宋_GB2312" w:hAnsi="仿宋_GB2312" w:eastAsia="仿宋_GB2312" w:cs="仿宋_GB2312"/>
          <w:sz w:val="32"/>
          <w:szCs w:val="32"/>
          <w:lang w:val="en-US" w:eastAsia="zh-CN"/>
        </w:rPr>
        <w:t>提高学校教学水平、改善办学条件</w:t>
      </w:r>
      <w:r>
        <w:rPr>
          <w:rFonts w:hint="eastAsia" w:ascii="仿宋_GB2312" w:hAnsi="仿宋_GB2312" w:eastAsia="仿宋_GB2312" w:cs="仿宋_GB2312"/>
          <w:sz w:val="32"/>
          <w:szCs w:val="32"/>
          <w:lang w:val="en-US" w:eastAsia="zh-CN"/>
        </w:rPr>
        <w:t>的社会效益，完全达到预期。</w:t>
      </w:r>
    </w:p>
    <w:p w14:paraId="3992EF5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③生态效益指标：</w:t>
      </w:r>
    </w:p>
    <w:p w14:paraId="502BDE32">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不适用。</w:t>
      </w:r>
    </w:p>
    <w:p w14:paraId="1B725D3B">
      <w:pPr>
        <w:spacing w:line="600" w:lineRule="exact"/>
        <w:ind w:firstLine="643"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2.满意度</w:t>
      </w:r>
    </w:p>
    <w:p w14:paraId="47FCC60A">
      <w:pPr>
        <w:keepNext w:val="0"/>
        <w:keepLines w:val="0"/>
        <w:widowControl/>
        <w:suppressLineNumbers w:val="0"/>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满意度指标：</w:t>
      </w:r>
    </w:p>
    <w:p w14:paraId="6B54B00D">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评价指标</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师生满意度</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，指标值</w:t>
      </w:r>
      <w:r>
        <w:rPr>
          <w:rFonts w:hint="default"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lang w:val="en-US" w:eastAsia="zh-CN"/>
        </w:rPr>
        <w:t>，实际完成值：</w:t>
      </w:r>
      <w:r>
        <w:rPr>
          <w:rFonts w:hint="default"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lang w:val="en-US" w:eastAsia="zh-CN"/>
        </w:rPr>
        <w:t xml:space="preserve">。通过设置问卷调查的方式进行考评评价，共计调查样本总量为60个样本，有效调查问卷60份。其中，统计“师生满意度”的平均值为 </w:t>
      </w:r>
      <w:r>
        <w:rPr>
          <w:rFonts w:hint="default"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lang w:val="en-US" w:eastAsia="zh-CN"/>
        </w:rPr>
        <w:t>。</w:t>
      </w:r>
    </w:p>
    <w:p w14:paraId="00394F27">
      <w:pPr>
        <w:spacing w:line="560" w:lineRule="exact"/>
        <w:ind w:firstLine="640" w:firstLineChars="200"/>
        <w:rPr>
          <w:rStyle w:val="18"/>
          <w:rFonts w:ascii="Times New Roman" w:hAnsi="Times New Roman" w:cs="Times New Roman"/>
          <w:color w:val="auto"/>
        </w:rPr>
      </w:pPr>
      <w:r>
        <w:rPr>
          <w:rFonts w:hint="eastAsia" w:eastAsia="黑体"/>
          <w:sz w:val="32"/>
          <w:szCs w:val="32"/>
          <w:lang w:val="en-US" w:eastAsia="zh-CN"/>
        </w:rPr>
        <w:t>五</w:t>
      </w:r>
      <w:r>
        <w:rPr>
          <w:rFonts w:eastAsia="黑体"/>
          <w:sz w:val="32"/>
          <w:szCs w:val="32"/>
        </w:rPr>
        <w:t>、主要经验及做法、存在的问题及原因分析</w:t>
      </w:r>
    </w:p>
    <w:p w14:paraId="011A1603">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7C52BEA8">
      <w:pPr>
        <w:spacing w:line="560" w:lineRule="exact"/>
        <w:ind w:firstLine="640" w:firstLineChars="200"/>
        <w:rPr>
          <w:rFonts w:hint="eastAsia" w:eastAsia="仿宋_GB2312"/>
          <w:sz w:val="32"/>
          <w:szCs w:val="32"/>
          <w:lang w:val="en-US" w:eastAsia="zh-CN"/>
        </w:rPr>
      </w:pPr>
      <w:r>
        <w:rPr>
          <w:rFonts w:hint="eastAsia" w:eastAsia="仿宋_GB2312"/>
          <w:sz w:val="32"/>
          <w:szCs w:val="32"/>
        </w:rPr>
        <w:t>该项目用以保障义务教育阶段学校正常运转、教育教学活动和其他日常工作正常开展的相关支出，主要包含有相关教学设备设施的购置，零星日常维修等。采取项目工作领导小组负责制，全体成员积极配合、通力合作。项目工作领导小组负责协调相关工作，项目实施及资金管理。建立联动机制，各部门密切配合，分工责任，各司其职，密切跟进项目落实情况，确保了项目有组织、有计划、有步骤地推进。进一步提升了校园硬件设施力度，补齐了学校环境硬件短板，大大提高了学生学习的积极性，提高了老师的教学水平，优化了课堂互动环境，形成了师生有效互动，为学生打造了良好教学环境，提升了师生的幸福感。</w:t>
      </w:r>
    </w:p>
    <w:p w14:paraId="34CE4C80">
      <w:pPr>
        <w:spacing w:line="560" w:lineRule="exact"/>
        <w:ind w:firstLine="627" w:firstLineChars="200"/>
        <w:rPr>
          <w:rFonts w:eastAsia="楷体_GB2312"/>
          <w:b/>
          <w:bCs/>
          <w:sz w:val="32"/>
          <w:szCs w:val="32"/>
        </w:rPr>
      </w:pPr>
      <w:r>
        <w:rPr>
          <w:rFonts w:hint="eastAsia" w:eastAsia="楷体"/>
          <w:b/>
          <w:spacing w:val="-4"/>
          <w:sz w:val="32"/>
          <w:szCs w:val="32"/>
          <w:lang w:eastAsia="zh-CN"/>
        </w:rPr>
        <w:t>（二）</w:t>
      </w:r>
      <w:r>
        <w:rPr>
          <w:rFonts w:eastAsia="楷体_GB2312"/>
          <w:b/>
          <w:bCs/>
          <w:sz w:val="32"/>
          <w:szCs w:val="32"/>
        </w:rPr>
        <w:t>存在的问题及原因分析</w:t>
      </w:r>
    </w:p>
    <w:p w14:paraId="2A030D9C">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今后的工作中，预算要更加切合单位实际需要，追加预算要细化，加大对项目绩效支出的绩效考核。项目执行方面，加大对各业务口相关负责人的政策制度培训，在财力允许的情况下，按要求准备好相关材料，保障项目顺利执行，不拖后腿，影响进度。</w:t>
      </w:r>
    </w:p>
    <w:p w14:paraId="25153E01">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相关绩效管理方面专业知识的系统性学习有待加强。各项指标的设置要进一步优化、完善，主要在细化、量化上改进。在绩效自评过程中，</w:t>
      </w:r>
      <w:r>
        <w:rPr>
          <w:rFonts w:hint="eastAsia" w:ascii="仿宋_GB2312" w:hAnsi="仿宋_GB2312" w:eastAsia="仿宋_GB2312" w:cs="仿宋_GB2312"/>
          <w:sz w:val="32"/>
          <w:szCs w:val="32"/>
          <w:lang w:val="en-US" w:eastAsia="zh-CN"/>
        </w:rPr>
        <w:t>由于部分人员</w:t>
      </w:r>
      <w:r>
        <w:rPr>
          <w:rFonts w:hint="eastAsia" w:ascii="仿宋_GB2312" w:hAnsi="仿宋_GB2312" w:eastAsia="仿宋_GB2312" w:cs="仿宋_GB2312"/>
          <w:sz w:val="32"/>
          <w:szCs w:val="32"/>
        </w:rPr>
        <w:t>缺乏相关绩效管理专业知识，自评价工作还存在自我审定的局限性，影响评价质量。</w:t>
      </w:r>
    </w:p>
    <w:p w14:paraId="6BC8229D">
      <w:pPr>
        <w:spacing w:line="560" w:lineRule="exact"/>
        <w:ind w:firstLine="640" w:firstLineChars="200"/>
        <w:rPr>
          <w:rFonts w:eastAsia="黑体"/>
          <w:sz w:val="32"/>
          <w:szCs w:val="32"/>
        </w:rPr>
      </w:pPr>
      <w:r>
        <w:rPr>
          <w:rFonts w:hint="eastAsia" w:eastAsia="黑体"/>
          <w:sz w:val="32"/>
          <w:szCs w:val="32"/>
          <w:lang w:val="en-US" w:eastAsia="zh-CN"/>
        </w:rPr>
        <w:t>六</w:t>
      </w:r>
      <w:r>
        <w:rPr>
          <w:rFonts w:hint="eastAsia" w:eastAsia="黑体"/>
          <w:sz w:val="32"/>
          <w:szCs w:val="32"/>
        </w:rPr>
        <w:t>、</w:t>
      </w:r>
      <w:r>
        <w:rPr>
          <w:rFonts w:eastAsia="黑体"/>
          <w:sz w:val="32"/>
          <w:szCs w:val="32"/>
        </w:rPr>
        <w:t>有关建议</w:t>
      </w:r>
    </w:p>
    <w:p w14:paraId="784E2A08">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（一）严格按照项目资金管理办法对资金进行计划申请、 </w:t>
      </w:r>
    </w:p>
    <w:p w14:paraId="6FB0FAB9">
      <w:pPr>
        <w:spacing w:line="600" w:lineRule="exact"/>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划拨、使用，及时、规范对收支进行账务处理和会计核算。 </w:t>
      </w:r>
    </w:p>
    <w:p w14:paraId="35400787">
      <w:pPr>
        <w:spacing w:line="600" w:lineRule="exact"/>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专项资金专项使用，严格执行项目资金批准的使用计划和项 </w:t>
      </w:r>
    </w:p>
    <w:p w14:paraId="7DB0E898">
      <w:pPr>
        <w:spacing w:line="600" w:lineRule="exact"/>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目批复内容，不准擅自调项、扩项、缩项、挪用、挤占和随 </w:t>
      </w:r>
    </w:p>
    <w:p w14:paraId="42788CCC">
      <w:pPr>
        <w:spacing w:line="600" w:lineRule="exact"/>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意扣压，资金拨付动向按不同专项资金的要求执行，不准任 </w:t>
      </w:r>
    </w:p>
    <w:p w14:paraId="18B383C3">
      <w:pPr>
        <w:spacing w:line="600" w:lineRule="exact"/>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意改变。专项资金报账拨付要附真实、有效、合法的凭证。 </w:t>
      </w:r>
    </w:p>
    <w:p w14:paraId="6CA178E6">
      <w:pPr>
        <w:spacing w:line="600" w:lineRule="exact"/>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加强审计监督，对专项资金要定期或不定期进行督查，确保 </w:t>
      </w:r>
    </w:p>
    <w:p w14:paraId="00D226AA">
      <w:pPr>
        <w:spacing w:line="600" w:lineRule="exact"/>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项目资金转款专用。严格按照相关规定执行，确保项目顺利展开。 </w:t>
      </w:r>
    </w:p>
    <w:p w14:paraId="4F90C37F">
      <w:pP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（二）加强预算严格的监督控制制度，逐步完善了单位预算管理保障制度，确保财务编制及财务预算的执行可以得到有效保障。 </w:t>
      </w:r>
    </w:p>
    <w:p w14:paraId="731073DD">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（三）建立了联动机制，各部门密切配合，分工责任， 各司其职，树立正确的预算执行意识，加强了单位领导者与管理者的预算执行意识，以身作则的带动了下属工作人员及组织、部门严肃对待预算执行这一问题，同时加强了预算执行过程中的方法学习和技巧掌握，学习了如何实现经费的合理化分配。</w:t>
      </w:r>
    </w:p>
    <w:p w14:paraId="4BF3C031">
      <w:pPr>
        <w:spacing w:line="600" w:lineRule="exact"/>
        <w:ind w:firstLine="420" w:firstLineChars="200"/>
        <w:outlineLvl w:val="0"/>
        <w:rPr>
          <w:rFonts w:hint="eastAsia" w:ascii="仿宋_GB2312" w:hAnsi="仿宋_GB2312" w:eastAsia="仿宋_GB2312" w:cs="仿宋_GB2312"/>
          <w:sz w:val="32"/>
          <w:szCs w:val="32"/>
        </w:rPr>
      </w:pPr>
      <w:r>
        <w:br w:type="page"/>
      </w:r>
    </w:p>
    <w:p w14:paraId="25CA0220">
      <w:pPr>
        <w:spacing w:line="560" w:lineRule="exact"/>
        <w:ind w:firstLine="640" w:firstLineChars="200"/>
        <w:rPr>
          <w:rFonts w:eastAsia="黑体"/>
          <w:sz w:val="32"/>
          <w:szCs w:val="32"/>
        </w:rPr>
      </w:pPr>
      <w:r>
        <w:rPr>
          <w:rFonts w:hint="eastAsia" w:eastAsia="黑体"/>
          <w:sz w:val="32"/>
          <w:szCs w:val="32"/>
          <w:lang w:val="en-US" w:eastAsia="zh-CN"/>
        </w:rPr>
        <w:t>七</w:t>
      </w:r>
      <w:r>
        <w:rPr>
          <w:rFonts w:hint="eastAsia" w:eastAsia="黑体"/>
          <w:sz w:val="32"/>
          <w:szCs w:val="32"/>
        </w:rPr>
        <w:t>、</w:t>
      </w:r>
      <w:r>
        <w:rPr>
          <w:rFonts w:eastAsia="黑体"/>
          <w:sz w:val="32"/>
          <w:szCs w:val="32"/>
        </w:rPr>
        <w:t>其他需要说</w:t>
      </w:r>
      <w:bookmarkStart w:id="2" w:name="page8"/>
      <w:bookmarkEnd w:id="2"/>
      <w:r>
        <w:rPr>
          <w:rFonts w:eastAsia="黑体"/>
          <w:sz w:val="32"/>
          <w:szCs w:val="32"/>
        </w:rPr>
        <w:t>明的问题</w:t>
      </w:r>
    </w:p>
    <w:p w14:paraId="144379D8">
      <w:pPr>
        <w:pStyle w:val="10"/>
        <w:spacing w:after="0" w:line="560" w:lineRule="exact"/>
        <w:ind w:left="0" w:leftChars="0"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1.项目支出政策和路径设计科学，符合行业发展规划和政策要求，符合实际需要；</w:t>
      </w:r>
      <w:bookmarkStart w:id="3" w:name="_GoBack"/>
      <w:bookmarkEnd w:id="3"/>
    </w:p>
    <w:p w14:paraId="3A1884C8">
      <w:pPr>
        <w:pStyle w:val="10"/>
        <w:spacing w:after="0" w:line="560" w:lineRule="exact"/>
        <w:ind w:left="0" w:leftChars="0"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2.项目安排准确，未发现背离项目立项初衷的情况</w:t>
      </w:r>
    </w:p>
    <w:p w14:paraId="0BF21981">
      <w:pPr>
        <w:pStyle w:val="10"/>
        <w:spacing w:after="0" w:line="560" w:lineRule="exact"/>
        <w:ind w:left="0" w:leftChars="0" w:firstLine="640"/>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3.项目的申报、审核机制完善，同时项目严格按照规定的程序申请设立。</w:t>
      </w:r>
    </w:p>
    <w:p w14:paraId="543F125E">
      <w:pPr>
        <w:rPr>
          <w:highlight w:val="none"/>
        </w:rPr>
      </w:pPr>
    </w:p>
    <w:sectPr>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E6FA886-52A0-40AD-8B54-6D97F9F3EE7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FE5CC08D-9CBE-476F-B0A8-12C8E9A1A3EA}"/>
  </w:font>
  <w:font w:name="华文中宋">
    <w:panose1 w:val="02010600040101010101"/>
    <w:charset w:val="86"/>
    <w:family w:val="auto"/>
    <w:pitch w:val="default"/>
    <w:sig w:usb0="00000287" w:usb1="080F0000" w:usb2="00000000" w:usb3="00000000" w:csb0="0004009F" w:csb1="DFD70000"/>
    <w:embedRegular r:id="rId3" w:fontKey="{C339EB31-EA60-4FBE-A8BB-2D32C4D86A88}"/>
  </w:font>
  <w:font w:name="方正小标宋_GBK">
    <w:panose1 w:val="02000000000000000000"/>
    <w:charset w:val="86"/>
    <w:family w:val="script"/>
    <w:pitch w:val="default"/>
    <w:sig w:usb0="A00002BF" w:usb1="38CF7CFA" w:usb2="00082016" w:usb3="00000000" w:csb0="00040001" w:csb1="00000000"/>
    <w:embedRegular r:id="rId4" w:fontKey="{5F7FE2EB-5E9E-4FB0-9C4A-8EC43D908C6C}"/>
  </w:font>
  <w:font w:name="楷体_GB2312">
    <w:panose1 w:val="02010609030101010101"/>
    <w:charset w:val="86"/>
    <w:family w:val="auto"/>
    <w:pitch w:val="default"/>
    <w:sig w:usb0="00000001" w:usb1="080E0000" w:usb2="00000000" w:usb3="00000000" w:csb0="00040000" w:csb1="00000000"/>
    <w:embedRegular r:id="rId5" w:fontKey="{CEB2269A-5590-4D1F-A651-6CB14917DE09}"/>
  </w:font>
  <w:font w:name="方正仿宋_GBK">
    <w:panose1 w:val="02000000000000000000"/>
    <w:charset w:val="86"/>
    <w:family w:val="auto"/>
    <w:pitch w:val="default"/>
    <w:sig w:usb0="A00002BF" w:usb1="38CF7CFA" w:usb2="00082016" w:usb3="00000000" w:csb0="00040001" w:csb1="00000000"/>
    <w:embedRegular r:id="rId6" w:fontKey="{E6612320-AA23-44FE-ABEF-BBD6879043F9}"/>
  </w:font>
  <w:font w:name="楷体">
    <w:panose1 w:val="02010609060101010101"/>
    <w:charset w:val="86"/>
    <w:family w:val="modern"/>
    <w:pitch w:val="default"/>
    <w:sig w:usb0="800002BF" w:usb1="38CF7CFA" w:usb2="00000016" w:usb3="00000000" w:csb0="00040001" w:csb1="00000000"/>
    <w:embedRegular r:id="rId7" w:fontKey="{0FE6658B-E312-4517-B836-501F7AC0816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7D4F5">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23B8F5FB">
        <w:pPr>
          <w:pStyle w:val="7"/>
          <w:jc w:val="center"/>
        </w:pPr>
        <w:r>
          <w:fldChar w:fldCharType="begin"/>
        </w:r>
        <w:r>
          <w:instrText xml:space="preserve">PAGE   \* MERGEFORMAT</w:instrText>
        </w:r>
        <w:r>
          <w:fldChar w:fldCharType="separate"/>
        </w:r>
        <w:r>
          <w:rPr>
            <w:lang w:val="zh-CN"/>
          </w:rPr>
          <w:t>13</w:t>
        </w:r>
        <w:r>
          <w:fldChar w:fldCharType="end"/>
        </w:r>
      </w:p>
    </w:sdtContent>
  </w:sdt>
  <w:p w14:paraId="42D7CFCC">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2"/>
      <w:numFmt w:val="chineseCounting"/>
      <w:suff w:val="nothing"/>
      <w:lvlText w:val="（%1）"/>
      <w:lvlJc w:val="left"/>
      <w:rPr>
        <w:rFonts w:hint="eastAsia"/>
      </w:rPr>
    </w:lvl>
  </w:abstractNum>
  <w:abstractNum w:abstractNumId="1">
    <w:nsid w:val="CF092B84"/>
    <w:multiLevelType w:val="singleLevel"/>
    <w:tmpl w:val="CF092B84"/>
    <w:lvl w:ilvl="0" w:tentative="0">
      <w:start w:val="3"/>
      <w:numFmt w:val="chineseCounting"/>
      <w:suff w:val="nothing"/>
      <w:lvlText w:val="（%1）"/>
      <w:lvlJc w:val="left"/>
      <w:rPr>
        <w:rFonts w:hint="eastAsia"/>
      </w:rPr>
    </w:lvl>
  </w:abstractNum>
  <w:abstractNum w:abstractNumId="2">
    <w:nsid w:val="0053208E"/>
    <w:multiLevelType w:val="singleLevel"/>
    <w:tmpl w:val="0053208E"/>
    <w:lvl w:ilvl="0" w:tentative="0">
      <w:start w:val="1"/>
      <w:numFmt w:val="decimal"/>
      <w:suff w:val="nothing"/>
      <w:lvlText w:val="（%1）"/>
      <w:lvlJc w:val="left"/>
    </w:lvl>
  </w:abstractNum>
  <w:abstractNum w:abstractNumId="3">
    <w:nsid w:val="59ADCABA"/>
    <w:multiLevelType w:val="singleLevel"/>
    <w:tmpl w:val="59ADCABA"/>
    <w:lvl w:ilvl="0" w:tentative="0">
      <w:start w:val="3"/>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7A0F46F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qFormat/>
    <w:uiPriority w:val="0"/>
    <w:pPr>
      <w:spacing w:after="0"/>
      <w:ind w:firstLine="200" w:firstLineChars="200"/>
    </w:pPr>
  </w:style>
  <w:style w:type="paragraph" w:styleId="10">
    <w:name w:val="Body Text First Indent 2"/>
    <w:basedOn w:val="5"/>
    <w:qFormat/>
    <w:uiPriority w:val="0"/>
    <w:pPr>
      <w:ind w:firstLine="420" w:firstLineChars="200"/>
    </w:pPr>
  </w:style>
  <w:style w:type="table" w:styleId="12">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Strong"/>
    <w:basedOn w:val="13"/>
    <w:qFormat/>
    <w:uiPriority w:val="0"/>
    <w:rPr>
      <w:b/>
      <w:bCs/>
    </w:rPr>
  </w:style>
  <w:style w:type="paragraph" w:customStyle="1" w:styleId="15">
    <w:name w:val="Comment Text"/>
    <w:basedOn w:val="1"/>
    <w:link w:val="22"/>
    <w:qFormat/>
    <w:uiPriority w:val="0"/>
    <w:pPr>
      <w:jc w:val="left"/>
    </w:pPr>
  </w:style>
  <w:style w:type="paragraph" w:customStyle="1" w:styleId="16">
    <w:name w:val="Comment Subject"/>
    <w:basedOn w:val="15"/>
    <w:next w:val="15"/>
    <w:link w:val="23"/>
    <w:qFormat/>
    <w:uiPriority w:val="0"/>
    <w:rPr>
      <w:b/>
      <w:bCs/>
    </w:rPr>
  </w:style>
  <w:style w:type="character" w:customStyle="1" w:styleId="17">
    <w:name w:val="Comment Reference"/>
    <w:basedOn w:val="13"/>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3"/>
    <w:link w:val="6"/>
    <w:qFormat/>
    <w:uiPriority w:val="0"/>
    <w:rPr>
      <w:rFonts w:ascii="Times New Roman" w:hAnsi="Times New Roman" w:eastAsia="宋体" w:cs="Times New Roman"/>
      <w:kern w:val="2"/>
      <w:sz w:val="18"/>
      <w:szCs w:val="18"/>
    </w:rPr>
  </w:style>
  <w:style w:type="character" w:customStyle="1" w:styleId="21">
    <w:name w:val="页眉 字符"/>
    <w:basedOn w:val="13"/>
    <w:link w:val="8"/>
    <w:qFormat/>
    <w:uiPriority w:val="0"/>
    <w:rPr>
      <w:rFonts w:ascii="Times New Roman" w:hAnsi="Times New Roman" w:eastAsia="宋体" w:cs="Times New Roman"/>
      <w:kern w:val="2"/>
      <w:sz w:val="18"/>
      <w:szCs w:val="18"/>
    </w:rPr>
  </w:style>
  <w:style w:type="character" w:customStyle="1" w:styleId="22">
    <w:name w:val="批注文字 字符"/>
    <w:basedOn w:val="13"/>
    <w:link w:val="15"/>
    <w:qFormat/>
    <w:uiPriority w:val="0"/>
    <w:rPr>
      <w:rFonts w:ascii="Times New Roman" w:hAnsi="Times New Roman" w:eastAsia="宋体" w:cs="Times New Roman"/>
      <w:kern w:val="2"/>
      <w:sz w:val="21"/>
      <w:szCs w:val="24"/>
    </w:rPr>
  </w:style>
  <w:style w:type="character" w:customStyle="1" w:styleId="23">
    <w:name w:val="批注主题 字符"/>
    <w:basedOn w:val="22"/>
    <w:link w:val="16"/>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2D0C427622844368B1CE0F549DC1A028</vt:lpwstr>
  </property>
  <property fmtid="{D5CDD505-2E9C-101B-9397-08002B2CF9AE}" pid="4" name="KSOTemplateDocerSaveRecord">
    <vt:lpwstr>eyJoZGlkIjoiOTBlNDBhNmMyODYxMDk4ZTI5YjJlZTc4YWZiYmNhN2YiLCJ1c2VySWQiOiIyNjgyNTAyOTkifQ==</vt:lpwstr>
  </property>
</Properties>
</file>

<file path=customXml/itemProps1.xml><?xml version="1.0" encoding="utf-8"?>
<ds:datastoreItem xmlns:ds="http://schemas.openxmlformats.org/officeDocument/2006/customXml" ds:itemID="{EEA5C986-6CAE-461A-935E-905AB5D0E2F3}">
  <ds:schemaRefs/>
</ds:datastoreItem>
</file>

<file path=customXml/itemProps2.xml><?xml version="1.0" encoding="utf-8"?>
<ds:datastoreItem xmlns:ds="http://schemas.openxmlformats.org/officeDocument/2006/customXml" ds:itemID="{6de76189-ebcd-48a1-be00-01d500ec6e0f}">
  <ds:schemaRefs/>
</ds:datastoreItem>
</file>

<file path=docProps/app.xml><?xml version="1.0" encoding="utf-8"?>
<Properties xmlns="http://schemas.openxmlformats.org/officeDocument/2006/extended-properties" xmlns:vt="http://schemas.openxmlformats.org/officeDocument/2006/docPropsVTypes">
  <Template>Normal</Template>
  <Pages>18</Pages>
  <Words>8895</Words>
  <Characters>9582</Characters>
  <Lines>66</Lines>
  <Paragraphs>18</Paragraphs>
  <TotalTime>79</TotalTime>
  <ScaleCrop>false</ScaleCrop>
  <LinksUpToDate>false</LinksUpToDate>
  <CharactersWithSpaces>9608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2025-11-05T04:15:23Z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2D0C427622844368B1CE0F549DC1A028</vt:lpwstr>
  </property>
  <property fmtid="{D5CDD505-2E9C-101B-9397-08002B2CF9AE}" pid="4" name="KSOTemplateDocerSaveRecord">
    <vt:lpwstr>eyJoZGlkIjoiOTBlNDBhNmMyODYxMDk4ZTI5YjJlZTc4YWZiYmNhN2YiLCJ1c2VySWQiOiIyNjgyNTAyOTkifQ_x003D__x003D_</vt:lpwstr>
  </property>
</Properties>
</file>